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19FF" w14:textId="77777777" w:rsidR="00BA3C96" w:rsidRDefault="00BA3C96" w:rsidP="003938B2">
      <w:pPr>
        <w:rPr>
          <w:rFonts w:ascii="Arial" w:hAnsi="Arial" w:cs="Arial"/>
          <w:color w:val="808080"/>
          <w:sz w:val="40"/>
          <w:szCs w:val="40"/>
        </w:rPr>
      </w:pPr>
    </w:p>
    <w:p w14:paraId="12630743" w14:textId="77777777" w:rsidR="00BA3C96" w:rsidRDefault="00BA3C96" w:rsidP="003938B2">
      <w:pPr>
        <w:rPr>
          <w:rFonts w:ascii="Arial" w:hAnsi="Arial" w:cs="Arial"/>
          <w:color w:val="808080"/>
          <w:sz w:val="40"/>
          <w:szCs w:val="40"/>
        </w:rPr>
      </w:pPr>
    </w:p>
    <w:p w14:paraId="7BF479D3" w14:textId="45B9F2D9" w:rsidR="007F62BC" w:rsidRPr="005B09D5" w:rsidRDefault="00BB4C75" w:rsidP="003938B2">
      <w:pPr>
        <w:rPr>
          <w:rFonts w:ascii="Arial" w:hAnsi="Arial" w:cs="Arial"/>
          <w:color w:val="808080"/>
          <w:sz w:val="40"/>
          <w:szCs w:val="40"/>
        </w:rPr>
      </w:pPr>
      <w:r>
        <w:rPr>
          <w:rFonts w:ascii="Arial" w:hAnsi="Arial" w:cs="Arial"/>
          <w:noProof/>
          <w:color w:val="808080"/>
          <w:sz w:val="40"/>
          <w:szCs w:val="40"/>
          <w:lang w:val="en-GB" w:eastAsia="en-GB" w:bidi="te"/>
        </w:rPr>
        <mc:AlternateContent>
          <mc:Choice Requires="wps">
            <w:drawing>
              <wp:anchor distT="0" distB="0" distL="114300" distR="114300" simplePos="0" relativeHeight="251656704" behindDoc="0" locked="0" layoutInCell="1" allowOverlap="1" wp14:anchorId="75A28013" wp14:editId="23C13278">
                <wp:simplePos x="0" y="0"/>
                <wp:positionH relativeFrom="column">
                  <wp:posOffset>-114300</wp:posOffset>
                </wp:positionH>
                <wp:positionV relativeFrom="paragraph">
                  <wp:posOffset>-571500</wp:posOffset>
                </wp:positionV>
                <wp:extent cx="6515100" cy="685165"/>
                <wp:effectExtent l="0" t="1905" r="4445" b="0"/>
                <wp:wrapNone/>
                <wp:docPr id="12232716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F134C" w14:textId="77777777" w:rsidR="007F62BC" w:rsidRPr="005B09D5" w:rsidRDefault="003C584B" w:rsidP="00943F3C">
                            <w:pPr>
                              <w:autoSpaceDE w:val="0"/>
                              <w:autoSpaceDN w:val="0"/>
                              <w:adjustRightInd w:val="0"/>
                              <w:spacing w:before="240"/>
                              <w:rPr>
                                <w:rFonts w:ascii="Arial" w:hAnsi="Arial" w:cs="Arial"/>
                                <w:i/>
                                <w:iCs/>
                                <w:color w:val="00703C"/>
                                <w:sz w:val="32"/>
                                <w:szCs w:val="32"/>
                              </w:rPr>
                            </w:pPr>
                            <w:r w:rsidRPr="005B09D5">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A28013"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335F134C" w14:textId="77777777" w:rsidR="007F62BC" w:rsidRPr="005B09D5" w:rsidRDefault="003C584B" w:rsidP="00943F3C">
                      <w:pPr>
                        <w:autoSpaceDE w:val="0"/>
                        <w:autoSpaceDN w:val="0"/>
                        <w:adjustRightInd w:val="0"/>
                        <w:spacing w:before="240"/>
                        <w:rPr>
                          <w:rFonts w:ascii="Arial" w:hAnsi="Arial" w:cs="Arial"/>
                          <w:i/>
                          <w:iCs/>
                          <w:color w:val="00703C"/>
                          <w:sz w:val="32"/>
                          <w:szCs w:val="32"/>
                        </w:rPr>
                      </w:pPr>
                      <w:r w:rsidRPr="005B09D5">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rPr>
        <w:drawing>
          <wp:anchor distT="0" distB="0" distL="114300" distR="114300" simplePos="0" relativeHeight="251657728" behindDoc="1" locked="0" layoutInCell="1" allowOverlap="1" wp14:anchorId="76183EBA" wp14:editId="0FAB7BFE">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1109E4">
        <w:rPr>
          <w:rFonts w:ascii="Arial" w:hAnsi="Arial" w:cs="Arial"/>
          <w:color w:val="808080"/>
          <w:sz w:val="40"/>
          <w:szCs w:val="40"/>
        </w:rPr>
        <w:t>Senior Data Analyst</w:t>
      </w:r>
      <w:r w:rsidR="00586E08">
        <w:rPr>
          <w:rFonts w:ascii="Arial" w:hAnsi="Arial" w:cs="Arial"/>
          <w:color w:val="808080"/>
          <w:sz w:val="40"/>
          <w:szCs w:val="40"/>
        </w:rPr>
        <w:t xml:space="preserve"> – Conduct</w:t>
      </w:r>
    </w:p>
    <w:p w14:paraId="6CF27F3F" w14:textId="77777777" w:rsidR="003938B2" w:rsidRPr="005B09D5" w:rsidRDefault="003938B2" w:rsidP="008F28B1">
      <w:pPr>
        <w:tabs>
          <w:tab w:val="left" w:pos="2880"/>
        </w:tabs>
        <w:spacing w:before="120" w:after="120"/>
        <w:rPr>
          <w:rFonts w:ascii="Arial" w:hAnsi="Arial" w:cs="Arial"/>
          <w:b/>
          <w:sz w:val="22"/>
          <w:szCs w:val="22"/>
        </w:rPr>
      </w:pPr>
    </w:p>
    <w:p w14:paraId="2E088DCC" w14:textId="683694FE" w:rsidR="00AC3AEB" w:rsidRPr="005B09D5" w:rsidRDefault="00BB4C75"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1B2B6015" wp14:editId="75EEE0E5">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5B09D5">
        <w:rPr>
          <w:rFonts w:ascii="Arial" w:hAnsi="Arial" w:cs="Arial"/>
          <w:bCs/>
          <w:i/>
          <w:iCs/>
          <w:color w:val="00703C"/>
          <w:sz w:val="20"/>
          <w:szCs w:val="20"/>
        </w:rPr>
        <w:t>Location:</w:t>
      </w:r>
      <w:r w:rsidR="00AC3AEB" w:rsidRPr="005B09D5">
        <w:rPr>
          <w:rFonts w:ascii="Arial" w:hAnsi="Arial" w:cs="Arial"/>
          <w:bCs/>
          <w:sz w:val="20"/>
          <w:szCs w:val="20"/>
        </w:rPr>
        <w:tab/>
      </w:r>
      <w:r w:rsidR="008B60AB" w:rsidRPr="005B09D5">
        <w:rPr>
          <w:rFonts w:ascii="Arial" w:hAnsi="Arial" w:cs="Arial"/>
          <w:bCs/>
          <w:color w:val="808080"/>
          <w:sz w:val="20"/>
          <w:szCs w:val="20"/>
        </w:rPr>
        <w:t>Wellington</w:t>
      </w:r>
      <w:r w:rsidR="005E4574">
        <w:rPr>
          <w:rFonts w:ascii="Arial" w:hAnsi="Arial" w:cs="Arial"/>
          <w:bCs/>
          <w:color w:val="808080"/>
          <w:sz w:val="20"/>
          <w:szCs w:val="20"/>
        </w:rPr>
        <w:t>/Palmerston North</w:t>
      </w:r>
    </w:p>
    <w:p w14:paraId="193492F8" w14:textId="4AEFEF15" w:rsidR="00AC3AEB" w:rsidRPr="005B09D5" w:rsidRDefault="00AC3AEB"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Reporting to:</w:t>
      </w:r>
      <w:r w:rsidR="002F29A5" w:rsidRPr="005B09D5">
        <w:rPr>
          <w:rFonts w:ascii="Arial" w:hAnsi="Arial" w:cs="Arial"/>
          <w:bCs/>
          <w:sz w:val="20"/>
          <w:szCs w:val="20"/>
        </w:rPr>
        <w:tab/>
      </w:r>
      <w:r w:rsidR="00732370">
        <w:rPr>
          <w:rFonts w:ascii="Arial" w:hAnsi="Arial" w:cs="Arial"/>
          <w:bCs/>
          <w:color w:val="808080"/>
          <w:sz w:val="20"/>
          <w:szCs w:val="20"/>
        </w:rPr>
        <w:t>Head of Insurance Conduct</w:t>
      </w:r>
    </w:p>
    <w:p w14:paraId="10F6EEFE" w14:textId="595B119C" w:rsidR="00AE40FF" w:rsidRPr="005B09D5" w:rsidRDefault="000E363D"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Business Unit:</w:t>
      </w:r>
      <w:r w:rsidRPr="005B09D5">
        <w:rPr>
          <w:rFonts w:ascii="Arial" w:hAnsi="Arial" w:cs="Arial"/>
          <w:bCs/>
          <w:sz w:val="20"/>
          <w:szCs w:val="20"/>
        </w:rPr>
        <w:tab/>
      </w:r>
      <w:r w:rsidR="00371C77">
        <w:rPr>
          <w:rFonts w:ascii="Arial" w:hAnsi="Arial" w:cs="Arial"/>
          <w:bCs/>
          <w:color w:val="808080"/>
          <w:sz w:val="20"/>
          <w:szCs w:val="20"/>
        </w:rPr>
        <w:t>Insurance Solutions</w:t>
      </w:r>
    </w:p>
    <w:p w14:paraId="6C3B30E8" w14:textId="4D53993B" w:rsidR="0083106B" w:rsidRPr="005B09D5" w:rsidRDefault="0083106B" w:rsidP="008F28B1">
      <w:pPr>
        <w:tabs>
          <w:tab w:val="left" w:pos="2880"/>
        </w:tabs>
        <w:spacing w:before="120" w:after="120"/>
        <w:rPr>
          <w:rFonts w:ascii="Arial" w:hAnsi="Arial" w:cs="Arial"/>
          <w:bCs/>
          <w:sz w:val="20"/>
          <w:szCs w:val="20"/>
        </w:rPr>
      </w:pPr>
      <w:r w:rsidRPr="005B09D5">
        <w:rPr>
          <w:rFonts w:ascii="Arial" w:hAnsi="Arial" w:cs="Arial"/>
          <w:bCs/>
          <w:i/>
          <w:iCs/>
          <w:color w:val="00703C"/>
          <w:sz w:val="20"/>
          <w:szCs w:val="20"/>
        </w:rPr>
        <w:t>Direct Reports:</w:t>
      </w:r>
      <w:r w:rsidRPr="005B09D5">
        <w:rPr>
          <w:rFonts w:ascii="Arial" w:hAnsi="Arial" w:cs="Arial"/>
          <w:bCs/>
          <w:sz w:val="20"/>
          <w:szCs w:val="20"/>
        </w:rPr>
        <w:tab/>
      </w:r>
      <w:r w:rsidR="009943D1">
        <w:rPr>
          <w:rFonts w:ascii="Arial" w:hAnsi="Arial" w:cs="Arial"/>
          <w:bCs/>
          <w:color w:val="808080"/>
          <w:sz w:val="20"/>
          <w:szCs w:val="20"/>
        </w:rPr>
        <w:t>N/A</w:t>
      </w:r>
    </w:p>
    <w:p w14:paraId="35D01BAF" w14:textId="21DFF36E" w:rsidR="008F28B1" w:rsidRPr="005B09D5" w:rsidRDefault="00AC3AEB" w:rsidP="008F28B1">
      <w:pPr>
        <w:tabs>
          <w:tab w:val="left" w:pos="2880"/>
        </w:tabs>
        <w:spacing w:before="120"/>
        <w:rPr>
          <w:rFonts w:ascii="Arial" w:hAnsi="Arial" w:cs="Arial"/>
        </w:rPr>
      </w:pPr>
      <w:r w:rsidRPr="005B09D5">
        <w:rPr>
          <w:rFonts w:ascii="Arial" w:hAnsi="Arial" w:cs="Arial"/>
          <w:bCs/>
          <w:i/>
          <w:iCs/>
          <w:color w:val="00703C"/>
          <w:sz w:val="20"/>
          <w:szCs w:val="20"/>
        </w:rPr>
        <w:t>Date</w:t>
      </w:r>
      <w:r w:rsidR="005117DD">
        <w:rPr>
          <w:rFonts w:ascii="Arial" w:hAnsi="Arial" w:cs="Arial"/>
          <w:bCs/>
          <w:i/>
          <w:iCs/>
          <w:color w:val="00703C"/>
          <w:sz w:val="20"/>
          <w:szCs w:val="20"/>
        </w:rPr>
        <w:t xml:space="preserve"> Last Reviewed</w:t>
      </w:r>
      <w:r w:rsidRPr="005B09D5">
        <w:rPr>
          <w:rFonts w:ascii="Arial" w:hAnsi="Arial" w:cs="Arial"/>
          <w:bCs/>
          <w:i/>
          <w:iCs/>
          <w:color w:val="00703C"/>
          <w:sz w:val="20"/>
          <w:szCs w:val="20"/>
        </w:rPr>
        <w:t>:</w:t>
      </w:r>
      <w:r w:rsidRPr="005B09D5">
        <w:rPr>
          <w:rFonts w:ascii="Arial" w:hAnsi="Arial" w:cs="Arial"/>
          <w:sz w:val="20"/>
          <w:szCs w:val="20"/>
        </w:rPr>
        <w:tab/>
      </w:r>
      <w:r w:rsidR="008A55E5">
        <w:rPr>
          <w:rFonts w:ascii="Arial" w:hAnsi="Arial" w:cs="Arial"/>
          <w:color w:val="808080"/>
          <w:sz w:val="20"/>
          <w:szCs w:val="20"/>
        </w:rPr>
        <w:t>May</w:t>
      </w:r>
      <w:r w:rsidR="00662326">
        <w:rPr>
          <w:rFonts w:ascii="Arial" w:hAnsi="Arial" w:cs="Arial"/>
          <w:color w:val="808080"/>
          <w:sz w:val="20"/>
          <w:szCs w:val="20"/>
        </w:rPr>
        <w:t xml:space="preserve"> </w:t>
      </w:r>
      <w:r w:rsidR="00631A44">
        <w:rPr>
          <w:rFonts w:ascii="Arial" w:hAnsi="Arial" w:cs="Arial"/>
          <w:color w:val="808080"/>
          <w:sz w:val="20"/>
          <w:szCs w:val="20"/>
        </w:rPr>
        <w:t>2026</w:t>
      </w:r>
      <w:r w:rsidR="008F28B1" w:rsidRPr="005B09D5">
        <w:rPr>
          <w:rFonts w:ascii="Arial" w:hAnsi="Arial" w:cs="Arial"/>
          <w:sz w:val="20"/>
          <w:szCs w:val="20"/>
        </w:rPr>
        <w:cr/>
      </w:r>
      <w:r w:rsidR="006B3E6B">
        <w:rPr>
          <w:rFonts w:ascii="Arial" w:hAnsi="Arial" w:cs="Arial"/>
        </w:rPr>
        <w:pict w14:anchorId="6A11B881">
          <v:rect id="_x0000_i1025" style="width:470.2pt;height:1pt" o:hralign="center" o:hrstd="t" o:hrnoshade="t" o:hr="t" fillcolor="silver" stroked="f"/>
        </w:pict>
      </w:r>
    </w:p>
    <w:p w14:paraId="4F721579" w14:textId="77777777" w:rsidR="00786BF3" w:rsidRPr="001B66F5" w:rsidRDefault="00786BF3" w:rsidP="00786BF3">
      <w:pPr>
        <w:pStyle w:val="Heading3"/>
        <w:spacing w:before="120"/>
        <w:rPr>
          <w:i/>
          <w:color w:val="00703C"/>
          <w:sz w:val="28"/>
          <w:szCs w:val="28"/>
          <w:lang w:val="en-NZ"/>
        </w:rPr>
      </w:pPr>
      <w:r w:rsidRPr="001B66F5">
        <w:rPr>
          <w:i/>
          <w:color w:val="00703C"/>
          <w:sz w:val="28"/>
          <w:szCs w:val="28"/>
          <w:lang w:val="en-NZ"/>
        </w:rPr>
        <w:t>About FMG</w:t>
      </w:r>
    </w:p>
    <w:p w14:paraId="1F07C7DD" w14:textId="77777777" w:rsidR="00EA587E" w:rsidRPr="000B2522" w:rsidRDefault="00EA587E" w:rsidP="00EA587E">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088B3EC8" w14:textId="77777777" w:rsidR="00EA587E" w:rsidRPr="000B2522" w:rsidRDefault="00EA587E" w:rsidP="00EA587E">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99F7E0A" w14:textId="77777777" w:rsidR="00786BF3" w:rsidRPr="001B66F5" w:rsidRDefault="006B3E6B" w:rsidP="00786BF3">
      <w:pPr>
        <w:pStyle w:val="Heading3"/>
        <w:spacing w:before="120"/>
        <w:rPr>
          <w:sz w:val="24"/>
          <w:szCs w:val="24"/>
          <w:lang w:val="en-NZ"/>
        </w:rPr>
      </w:pPr>
      <w:r>
        <w:rPr>
          <w:sz w:val="22"/>
          <w:szCs w:val="22"/>
          <w:lang w:val="en-NZ"/>
        </w:rPr>
        <w:pict w14:anchorId="7B5013EE">
          <v:rect id="_x0000_i1026" style="width:470.2pt;height:1pt" o:hralign="center" o:hrstd="t" o:hrnoshade="t" o:hr="t" fillcolor="silver" stroked="f">
            <v:imagedata r:id="rId12" o:title=""/>
          </v:rect>
        </w:pict>
      </w:r>
    </w:p>
    <w:p w14:paraId="16B2F3B7"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FMG’s Values</w:t>
      </w:r>
    </w:p>
    <w:p w14:paraId="60EBD096" w14:textId="77777777" w:rsidR="00927353" w:rsidRPr="000B2522" w:rsidRDefault="00927353" w:rsidP="00927353">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120"/>
        <w:gridCol w:w="5284"/>
      </w:tblGrid>
      <w:tr w:rsidR="00927353" w:rsidRPr="000B2522" w14:paraId="5A99E4CC" w14:textId="77777777" w:rsidTr="007E1FE6">
        <w:tc>
          <w:tcPr>
            <w:tcW w:w="4219" w:type="dxa"/>
            <w:tcMar>
              <w:top w:w="0" w:type="dxa"/>
              <w:left w:w="108" w:type="dxa"/>
              <w:bottom w:w="0" w:type="dxa"/>
              <w:right w:w="108" w:type="dxa"/>
            </w:tcMar>
            <w:hideMark/>
          </w:tcPr>
          <w:p w14:paraId="51AE03BA" w14:textId="77777777" w:rsidR="00927353" w:rsidRPr="000B2522" w:rsidRDefault="00927353" w:rsidP="00927353">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1BD1CC5E" w14:textId="77777777" w:rsidR="00927353" w:rsidRPr="000B2522" w:rsidRDefault="00927353" w:rsidP="00927353">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927353" w:rsidRPr="000B2522" w14:paraId="752C457E" w14:textId="77777777" w:rsidTr="007E1FE6">
        <w:tc>
          <w:tcPr>
            <w:tcW w:w="4219" w:type="dxa"/>
            <w:tcMar>
              <w:top w:w="0" w:type="dxa"/>
              <w:left w:w="108" w:type="dxa"/>
              <w:bottom w:w="0" w:type="dxa"/>
              <w:right w:w="108" w:type="dxa"/>
            </w:tcMar>
            <w:hideMark/>
          </w:tcPr>
          <w:p w14:paraId="5CEB5E38" w14:textId="77777777" w:rsidR="00927353" w:rsidRPr="000B2522" w:rsidRDefault="00927353" w:rsidP="00927353">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4C8A6AB3" w14:textId="77777777" w:rsidR="00927353" w:rsidRPr="000B2522" w:rsidRDefault="00927353" w:rsidP="00927353">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5B646D97" w14:textId="77777777" w:rsidR="00786BF3" w:rsidRPr="001B66F5" w:rsidRDefault="006B3E6B" w:rsidP="00786BF3">
      <w:pPr>
        <w:pStyle w:val="Heading3"/>
        <w:spacing w:before="120"/>
        <w:rPr>
          <w:sz w:val="24"/>
          <w:szCs w:val="24"/>
          <w:lang w:val="en-NZ"/>
        </w:rPr>
      </w:pPr>
      <w:r>
        <w:rPr>
          <w:sz w:val="24"/>
          <w:szCs w:val="24"/>
          <w:lang w:val="en-NZ"/>
        </w:rPr>
        <w:pict w14:anchorId="4A1980E1">
          <v:rect id="_x0000_i1027" style="width:470.2pt;height:1pt" o:hralign="center" o:hrstd="t" o:hrnoshade="t" o:hr="t" fillcolor="silver" stroked="f">
            <v:imagedata r:id="rId12" o:title=""/>
          </v:rect>
        </w:pict>
      </w:r>
    </w:p>
    <w:p w14:paraId="36CD151E"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Work Environment</w:t>
      </w:r>
    </w:p>
    <w:p w14:paraId="73B2CAE4" w14:textId="77777777" w:rsidR="00793B30" w:rsidRPr="00064402" w:rsidRDefault="00793B30" w:rsidP="00793B30">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2D1E89CF" w14:textId="77777777" w:rsidR="00793B30" w:rsidRPr="00064402" w:rsidRDefault="00793B30" w:rsidP="00793B30">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0799A325" w14:textId="77777777" w:rsidR="00793B30" w:rsidRPr="00064402" w:rsidRDefault="00793B30" w:rsidP="00793B30">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50AF9228" w14:textId="77777777" w:rsidR="005117DD" w:rsidRDefault="006B3E6B" w:rsidP="00BA2F02">
      <w:pPr>
        <w:tabs>
          <w:tab w:val="left" w:pos="1800"/>
        </w:tabs>
        <w:spacing w:before="120" w:after="120"/>
        <w:jc w:val="both"/>
        <w:rPr>
          <w:rFonts w:ascii="Arial" w:hAnsi="Arial" w:cs="Arial"/>
          <w:sz w:val="20"/>
          <w:szCs w:val="20"/>
        </w:rPr>
      </w:pPr>
      <w:r>
        <w:pict w14:anchorId="7C016F81">
          <v:rect id="_x0000_i1028" style="width:470.2pt;height:1pt" o:hralign="center" o:hrstd="t" o:hrnoshade="t" o:hr="t" fillcolor="silver" stroked="f"/>
        </w:pict>
      </w:r>
    </w:p>
    <w:p w14:paraId="7A86DEEC" w14:textId="77777777" w:rsidR="005117DD" w:rsidRDefault="005117DD" w:rsidP="00BA2F02">
      <w:pPr>
        <w:tabs>
          <w:tab w:val="left" w:pos="1800"/>
        </w:tabs>
        <w:spacing w:before="120" w:after="120"/>
        <w:jc w:val="both"/>
        <w:rPr>
          <w:rFonts w:ascii="Arial" w:hAnsi="Arial" w:cs="Arial"/>
          <w:sz w:val="20"/>
          <w:szCs w:val="20"/>
        </w:rPr>
      </w:pPr>
    </w:p>
    <w:p w14:paraId="2322EE22" w14:textId="77777777" w:rsidR="00C1744E" w:rsidRPr="005B09D5" w:rsidRDefault="00C1744E" w:rsidP="00C1744E">
      <w:pPr>
        <w:pStyle w:val="Heading3"/>
        <w:spacing w:before="120"/>
        <w:rPr>
          <w:i/>
          <w:iCs/>
          <w:color w:val="00703C"/>
          <w:sz w:val="28"/>
          <w:szCs w:val="28"/>
        </w:rPr>
      </w:pPr>
      <w:r w:rsidRPr="005B09D5">
        <w:rPr>
          <w:i/>
          <w:iCs/>
          <w:color w:val="00703C"/>
          <w:sz w:val="28"/>
          <w:szCs w:val="28"/>
        </w:rPr>
        <w:lastRenderedPageBreak/>
        <w:t>Purpose</w:t>
      </w:r>
      <w:r w:rsidR="00EE20C9" w:rsidRPr="005B09D5">
        <w:rPr>
          <w:i/>
          <w:iCs/>
          <w:color w:val="00703C"/>
          <w:sz w:val="28"/>
          <w:szCs w:val="28"/>
        </w:rPr>
        <w:t xml:space="preserve"> of the role</w:t>
      </w:r>
    </w:p>
    <w:p w14:paraId="5974992B" w14:textId="132D33DD" w:rsidR="001A521F" w:rsidRDefault="000721BE" w:rsidP="001A521F">
      <w:pPr>
        <w:tabs>
          <w:tab w:val="left" w:pos="1800"/>
        </w:tabs>
        <w:spacing w:before="120" w:after="120"/>
        <w:jc w:val="both"/>
        <w:rPr>
          <w:rFonts w:ascii="Arial" w:hAnsi="Arial" w:cs="Arial"/>
          <w:sz w:val="20"/>
          <w:szCs w:val="20"/>
          <w:lang w:val="en-NZ"/>
        </w:rPr>
      </w:pPr>
      <w:r>
        <w:rPr>
          <w:rFonts w:ascii="Arial" w:hAnsi="Arial" w:cs="Arial"/>
          <w:sz w:val="20"/>
          <w:szCs w:val="20"/>
          <w:lang w:val="en-NZ"/>
        </w:rPr>
        <w:t>This role</w:t>
      </w:r>
      <w:r w:rsidR="001A521F" w:rsidRPr="001A521F">
        <w:rPr>
          <w:rFonts w:ascii="Arial" w:hAnsi="Arial" w:cs="Arial"/>
          <w:sz w:val="20"/>
          <w:szCs w:val="20"/>
          <w:lang w:val="en-NZ"/>
        </w:rPr>
        <w:t xml:space="preserve"> is responsible for delivering high</w:t>
      </w:r>
      <w:r w:rsidR="001A521F" w:rsidRPr="001A521F">
        <w:rPr>
          <w:rFonts w:ascii="Arial" w:hAnsi="Arial" w:cs="Arial"/>
          <w:sz w:val="20"/>
          <w:szCs w:val="20"/>
          <w:lang w:val="en-NZ"/>
        </w:rPr>
        <w:noBreakHyphen/>
        <w:t>quality analytics and insights that support informed decision</w:t>
      </w:r>
      <w:r w:rsidR="001A521F" w:rsidRPr="001A521F">
        <w:rPr>
          <w:rFonts w:ascii="Arial" w:hAnsi="Arial" w:cs="Arial"/>
          <w:sz w:val="20"/>
          <w:szCs w:val="20"/>
          <w:lang w:val="en-NZ"/>
        </w:rPr>
        <w:noBreakHyphen/>
        <w:t xml:space="preserve">making </w:t>
      </w:r>
      <w:r w:rsidR="002B5AF3">
        <w:rPr>
          <w:rFonts w:ascii="Arial" w:hAnsi="Arial" w:cs="Arial"/>
          <w:sz w:val="20"/>
          <w:szCs w:val="20"/>
          <w:lang w:val="en-NZ"/>
        </w:rPr>
        <w:t xml:space="preserve">for </w:t>
      </w:r>
      <w:r w:rsidR="006822FE">
        <w:rPr>
          <w:rFonts w:ascii="Arial" w:hAnsi="Arial" w:cs="Arial"/>
          <w:sz w:val="20"/>
          <w:szCs w:val="20"/>
          <w:lang w:val="en-NZ"/>
        </w:rPr>
        <w:t>FMG’s</w:t>
      </w:r>
      <w:r w:rsidR="002B5AF3">
        <w:rPr>
          <w:rFonts w:ascii="Arial" w:hAnsi="Arial" w:cs="Arial"/>
          <w:sz w:val="20"/>
          <w:szCs w:val="20"/>
          <w:lang w:val="en-NZ"/>
        </w:rPr>
        <w:t xml:space="preserve"> </w:t>
      </w:r>
      <w:r w:rsidR="00B542C1">
        <w:rPr>
          <w:rFonts w:ascii="Arial" w:hAnsi="Arial" w:cs="Arial"/>
          <w:sz w:val="20"/>
          <w:szCs w:val="20"/>
          <w:lang w:val="en-NZ"/>
        </w:rPr>
        <w:t>Remediation Programme</w:t>
      </w:r>
      <w:r w:rsidR="006822FE">
        <w:rPr>
          <w:rFonts w:ascii="Arial" w:hAnsi="Arial" w:cs="Arial"/>
          <w:sz w:val="20"/>
          <w:szCs w:val="20"/>
          <w:lang w:val="en-NZ"/>
        </w:rPr>
        <w:t xml:space="preserve"> and the project teams operating in that Programme</w:t>
      </w:r>
      <w:r w:rsidR="001A521F" w:rsidRPr="001A521F">
        <w:rPr>
          <w:rFonts w:ascii="Arial" w:hAnsi="Arial" w:cs="Arial"/>
          <w:sz w:val="20"/>
          <w:szCs w:val="20"/>
          <w:lang w:val="en-NZ"/>
        </w:rPr>
        <w:t>.</w:t>
      </w:r>
      <w:r w:rsidR="002B5AF3">
        <w:rPr>
          <w:rFonts w:ascii="Arial" w:hAnsi="Arial" w:cs="Arial"/>
          <w:sz w:val="20"/>
          <w:szCs w:val="20"/>
          <w:lang w:val="en-NZ"/>
        </w:rPr>
        <w:t xml:space="preserve"> </w:t>
      </w:r>
    </w:p>
    <w:p w14:paraId="79730DB5" w14:textId="77777777" w:rsidR="00E922BF" w:rsidRDefault="0012450E" w:rsidP="001A521F">
      <w:pPr>
        <w:tabs>
          <w:tab w:val="left" w:pos="1800"/>
        </w:tabs>
        <w:spacing w:before="120" w:after="120"/>
        <w:jc w:val="both"/>
        <w:rPr>
          <w:rFonts w:ascii="Arial" w:hAnsi="Arial" w:cs="Arial"/>
          <w:sz w:val="20"/>
          <w:szCs w:val="20"/>
          <w:lang w:val="en-NZ"/>
        </w:rPr>
      </w:pPr>
      <w:r>
        <w:rPr>
          <w:rFonts w:ascii="Arial" w:hAnsi="Arial" w:cs="Arial"/>
          <w:sz w:val="20"/>
          <w:szCs w:val="20"/>
          <w:lang w:val="en-NZ"/>
        </w:rPr>
        <w:t>The role reports to the Head of Insurance Conduct</w:t>
      </w:r>
      <w:r w:rsidR="00E922BF">
        <w:rPr>
          <w:rFonts w:ascii="Arial" w:hAnsi="Arial" w:cs="Arial"/>
          <w:sz w:val="20"/>
          <w:szCs w:val="20"/>
          <w:lang w:val="en-NZ"/>
        </w:rPr>
        <w:t xml:space="preserve"> who is the Business Owner for the Remediation Programme. The role has</w:t>
      </w:r>
      <w:r>
        <w:rPr>
          <w:rFonts w:ascii="Arial" w:hAnsi="Arial" w:cs="Arial"/>
          <w:sz w:val="20"/>
          <w:szCs w:val="20"/>
          <w:lang w:val="en-NZ"/>
        </w:rPr>
        <w:t xml:space="preserve"> secondary reporting</w:t>
      </w:r>
      <w:r w:rsidR="00E922BF">
        <w:rPr>
          <w:rFonts w:ascii="Arial" w:hAnsi="Arial" w:cs="Arial"/>
          <w:sz w:val="20"/>
          <w:szCs w:val="20"/>
          <w:lang w:val="en-NZ"/>
        </w:rPr>
        <w:t xml:space="preserve"> lines</w:t>
      </w:r>
      <w:r>
        <w:rPr>
          <w:rFonts w:ascii="Arial" w:hAnsi="Arial" w:cs="Arial"/>
          <w:sz w:val="20"/>
          <w:szCs w:val="20"/>
          <w:lang w:val="en-NZ"/>
        </w:rPr>
        <w:t xml:space="preserve"> to</w:t>
      </w:r>
      <w:r w:rsidR="00E922BF">
        <w:rPr>
          <w:rFonts w:ascii="Arial" w:hAnsi="Arial" w:cs="Arial"/>
          <w:sz w:val="20"/>
          <w:szCs w:val="20"/>
          <w:lang w:val="en-NZ"/>
        </w:rPr>
        <w:t>:</w:t>
      </w:r>
    </w:p>
    <w:p w14:paraId="183AE32B" w14:textId="1CB6968E" w:rsidR="0004014F" w:rsidRDefault="004858ED" w:rsidP="0004014F">
      <w:pPr>
        <w:numPr>
          <w:ilvl w:val="0"/>
          <w:numId w:val="19"/>
        </w:numPr>
        <w:spacing w:before="120" w:after="120"/>
        <w:ind w:left="709" w:hanging="299"/>
        <w:jc w:val="both"/>
        <w:rPr>
          <w:rFonts w:ascii="Arial" w:hAnsi="Arial" w:cs="Arial"/>
          <w:sz w:val="20"/>
          <w:szCs w:val="20"/>
          <w:lang w:val="en-NZ"/>
        </w:rPr>
      </w:pPr>
      <w:r w:rsidRPr="004858ED">
        <w:rPr>
          <w:rFonts w:ascii="Arial" w:hAnsi="Arial" w:cs="Arial"/>
          <w:sz w:val="20"/>
          <w:szCs w:val="20"/>
          <w:lang w:val="en-NZ"/>
        </w:rPr>
        <w:t>Delivery Manager - Advanced Analytics</w:t>
      </w:r>
      <w:r>
        <w:rPr>
          <w:rFonts w:ascii="Arial" w:hAnsi="Arial" w:cs="Arial"/>
          <w:sz w:val="20"/>
          <w:szCs w:val="20"/>
          <w:lang w:val="en-NZ"/>
        </w:rPr>
        <w:t xml:space="preserve"> in the Digital &amp; Data Team for data analy</w:t>
      </w:r>
      <w:r w:rsidR="0004014F">
        <w:rPr>
          <w:rFonts w:ascii="Arial" w:hAnsi="Arial" w:cs="Arial"/>
          <w:sz w:val="20"/>
          <w:szCs w:val="20"/>
          <w:lang w:val="en-NZ"/>
        </w:rPr>
        <w:t>tics</w:t>
      </w:r>
      <w:r>
        <w:rPr>
          <w:rFonts w:ascii="Arial" w:hAnsi="Arial" w:cs="Arial"/>
          <w:sz w:val="20"/>
          <w:szCs w:val="20"/>
          <w:lang w:val="en-NZ"/>
        </w:rPr>
        <w:t xml:space="preserve"> responsibilities</w:t>
      </w:r>
      <w:r w:rsidR="0004014F">
        <w:rPr>
          <w:rFonts w:ascii="Arial" w:hAnsi="Arial" w:cs="Arial"/>
          <w:sz w:val="20"/>
          <w:szCs w:val="20"/>
          <w:lang w:val="en-NZ"/>
        </w:rPr>
        <w:t>,</w:t>
      </w:r>
      <w:r w:rsidR="00E922BF">
        <w:rPr>
          <w:rFonts w:ascii="Arial" w:hAnsi="Arial" w:cs="Arial"/>
          <w:sz w:val="20"/>
          <w:szCs w:val="20"/>
          <w:lang w:val="en-NZ"/>
        </w:rPr>
        <w:t xml:space="preserve"> includin</w:t>
      </w:r>
      <w:r w:rsidR="00B3189C">
        <w:rPr>
          <w:rFonts w:ascii="Arial" w:hAnsi="Arial" w:cs="Arial"/>
          <w:sz w:val="20"/>
          <w:szCs w:val="20"/>
          <w:lang w:val="en-NZ"/>
        </w:rPr>
        <w:t>g</w:t>
      </w:r>
      <w:r w:rsidR="00E922BF">
        <w:rPr>
          <w:rFonts w:ascii="Arial" w:hAnsi="Arial" w:cs="Arial"/>
          <w:sz w:val="20"/>
          <w:szCs w:val="20"/>
          <w:lang w:val="en-NZ"/>
        </w:rPr>
        <w:t xml:space="preserve"> </w:t>
      </w:r>
      <w:r w:rsidR="00B3189C">
        <w:rPr>
          <w:rFonts w:ascii="Arial" w:hAnsi="Arial" w:cs="Arial"/>
          <w:sz w:val="20"/>
          <w:szCs w:val="20"/>
          <w:lang w:val="en-NZ"/>
        </w:rPr>
        <w:t xml:space="preserve">for alignment to </w:t>
      </w:r>
      <w:r w:rsidR="00E922BF">
        <w:rPr>
          <w:rFonts w:ascii="Arial" w:hAnsi="Arial" w:cs="Arial"/>
          <w:sz w:val="20"/>
          <w:szCs w:val="20"/>
          <w:lang w:val="en-NZ"/>
        </w:rPr>
        <w:t>analytics best practice, training and support</w:t>
      </w:r>
      <w:r>
        <w:rPr>
          <w:rFonts w:ascii="Arial" w:hAnsi="Arial" w:cs="Arial"/>
          <w:sz w:val="20"/>
          <w:szCs w:val="20"/>
          <w:lang w:val="en-NZ"/>
        </w:rPr>
        <w:t xml:space="preserve">, and </w:t>
      </w:r>
    </w:p>
    <w:p w14:paraId="3467EF3E" w14:textId="5A80024F" w:rsidR="0012450E" w:rsidRPr="001A521F" w:rsidRDefault="004858ED" w:rsidP="0004014F">
      <w:pPr>
        <w:numPr>
          <w:ilvl w:val="0"/>
          <w:numId w:val="19"/>
        </w:numPr>
        <w:spacing w:before="120" w:after="120"/>
        <w:ind w:left="709" w:hanging="299"/>
        <w:jc w:val="both"/>
        <w:rPr>
          <w:rFonts w:ascii="Arial" w:hAnsi="Arial" w:cs="Arial"/>
          <w:sz w:val="20"/>
          <w:szCs w:val="20"/>
          <w:lang w:val="en-NZ"/>
        </w:rPr>
      </w:pPr>
      <w:r w:rsidRPr="004858ED">
        <w:rPr>
          <w:rFonts w:ascii="Arial" w:hAnsi="Arial" w:cs="Arial"/>
          <w:sz w:val="20"/>
          <w:szCs w:val="20"/>
          <w:lang w:val="en-NZ"/>
        </w:rPr>
        <w:t>Head of Pricing and Portfolio Analytics</w:t>
      </w:r>
      <w:r>
        <w:rPr>
          <w:rFonts w:ascii="Arial" w:hAnsi="Arial" w:cs="Arial"/>
          <w:sz w:val="20"/>
          <w:szCs w:val="20"/>
          <w:lang w:val="en-NZ"/>
        </w:rPr>
        <w:t xml:space="preserve"> in the Insurance Solutions team for pricing analysis responsibilities</w:t>
      </w:r>
      <w:r w:rsidR="002C77F4">
        <w:rPr>
          <w:rFonts w:ascii="Arial" w:hAnsi="Arial" w:cs="Arial"/>
          <w:sz w:val="20"/>
          <w:szCs w:val="20"/>
          <w:lang w:val="en-NZ"/>
        </w:rPr>
        <w:t xml:space="preserve">, including </w:t>
      </w:r>
      <w:r w:rsidR="002C6880">
        <w:rPr>
          <w:rFonts w:ascii="Arial" w:hAnsi="Arial" w:cs="Arial"/>
          <w:sz w:val="20"/>
          <w:szCs w:val="20"/>
          <w:lang w:val="en-NZ"/>
        </w:rPr>
        <w:t>development and use of price emulators to analyse client remediations</w:t>
      </w:r>
      <w:r>
        <w:rPr>
          <w:rFonts w:ascii="Arial" w:hAnsi="Arial" w:cs="Arial"/>
          <w:sz w:val="20"/>
          <w:szCs w:val="20"/>
          <w:lang w:val="en-NZ"/>
        </w:rPr>
        <w:t xml:space="preserve">. </w:t>
      </w:r>
    </w:p>
    <w:p w14:paraId="7CD50AF2" w14:textId="77777777" w:rsidR="00E315CF" w:rsidRDefault="00D1121C" w:rsidP="001A521F">
      <w:pPr>
        <w:tabs>
          <w:tab w:val="left" w:pos="1800"/>
        </w:tabs>
        <w:spacing w:before="120" w:after="120"/>
        <w:jc w:val="both"/>
        <w:rPr>
          <w:rFonts w:ascii="Arial" w:hAnsi="Arial" w:cs="Arial"/>
          <w:sz w:val="20"/>
          <w:szCs w:val="20"/>
          <w:lang w:val="en-NZ"/>
        </w:rPr>
      </w:pPr>
      <w:r>
        <w:rPr>
          <w:rFonts w:ascii="Arial" w:hAnsi="Arial" w:cs="Arial"/>
          <w:sz w:val="20"/>
          <w:szCs w:val="20"/>
          <w:lang w:val="en-NZ"/>
        </w:rPr>
        <w:t>T</w:t>
      </w:r>
      <w:r w:rsidR="001A521F" w:rsidRPr="001A521F">
        <w:rPr>
          <w:rFonts w:ascii="Arial" w:hAnsi="Arial" w:cs="Arial"/>
          <w:sz w:val="20"/>
          <w:szCs w:val="20"/>
          <w:lang w:val="en-NZ"/>
        </w:rPr>
        <w:t>he role applies strong analytical capability to identify opportunities, develop insights, and communicate findings in ways that influence decisions and improve outcomes</w:t>
      </w:r>
      <w:r w:rsidR="00E315CF">
        <w:rPr>
          <w:rFonts w:ascii="Arial" w:hAnsi="Arial" w:cs="Arial"/>
          <w:sz w:val="20"/>
          <w:szCs w:val="20"/>
          <w:lang w:val="en-NZ"/>
        </w:rPr>
        <w:t xml:space="preserve"> for Client Remediations</w:t>
      </w:r>
      <w:r w:rsidR="001A521F" w:rsidRPr="001A521F">
        <w:rPr>
          <w:rFonts w:ascii="Arial" w:hAnsi="Arial" w:cs="Arial"/>
          <w:sz w:val="20"/>
          <w:szCs w:val="20"/>
          <w:lang w:val="en-NZ"/>
        </w:rPr>
        <w:t xml:space="preserve">. </w:t>
      </w:r>
    </w:p>
    <w:p w14:paraId="6924E088" w14:textId="7A49D09D" w:rsidR="001A521F" w:rsidRPr="001A521F" w:rsidRDefault="001A521F" w:rsidP="001A521F">
      <w:pPr>
        <w:tabs>
          <w:tab w:val="left" w:pos="1800"/>
        </w:tabs>
        <w:spacing w:before="120" w:after="120"/>
        <w:jc w:val="both"/>
        <w:rPr>
          <w:rFonts w:ascii="Arial" w:hAnsi="Arial" w:cs="Arial"/>
          <w:sz w:val="20"/>
          <w:szCs w:val="20"/>
          <w:lang w:val="en-NZ"/>
        </w:rPr>
      </w:pPr>
      <w:r w:rsidRPr="001A521F">
        <w:rPr>
          <w:rFonts w:ascii="Arial" w:hAnsi="Arial" w:cs="Arial"/>
          <w:sz w:val="20"/>
          <w:szCs w:val="20"/>
          <w:lang w:val="en-NZ"/>
        </w:rPr>
        <w:t xml:space="preserve">The role operates within agreed priorities and delivery sequencing, contributing to a consistent, reliable analytics service aligned to </w:t>
      </w:r>
      <w:r w:rsidR="00FA1253">
        <w:rPr>
          <w:rFonts w:ascii="Arial" w:hAnsi="Arial" w:cs="Arial"/>
          <w:sz w:val="20"/>
          <w:szCs w:val="20"/>
          <w:lang w:val="en-NZ"/>
        </w:rPr>
        <w:t>the Client Remediation Team’s delivery plans.</w:t>
      </w:r>
    </w:p>
    <w:p w14:paraId="46C6C069" w14:textId="77777777" w:rsidR="001A521F" w:rsidRPr="001A521F" w:rsidRDefault="001A521F" w:rsidP="001A521F">
      <w:pPr>
        <w:tabs>
          <w:tab w:val="left" w:pos="1800"/>
        </w:tabs>
        <w:spacing w:before="120" w:after="120"/>
        <w:jc w:val="both"/>
        <w:rPr>
          <w:rFonts w:ascii="Arial" w:hAnsi="Arial" w:cs="Arial"/>
          <w:sz w:val="20"/>
          <w:szCs w:val="20"/>
          <w:lang w:val="en-NZ"/>
        </w:rPr>
      </w:pPr>
      <w:r w:rsidRPr="001A521F">
        <w:rPr>
          <w:rFonts w:ascii="Arial" w:hAnsi="Arial" w:cs="Arial"/>
          <w:sz w:val="20"/>
          <w:szCs w:val="20"/>
          <w:lang w:val="en-NZ"/>
        </w:rPr>
        <w:t>This role is a senior individual contributor, providing depth of analytical expertise, supporting complex analysis, and contributing to the ongoing maturity of FMG’s analytics capability.</w:t>
      </w:r>
    </w:p>
    <w:p w14:paraId="0C407622" w14:textId="77777777" w:rsidR="00674C5E" w:rsidRPr="005B09D5" w:rsidRDefault="006B3E6B" w:rsidP="002B11AE">
      <w:pPr>
        <w:tabs>
          <w:tab w:val="left" w:pos="1800"/>
        </w:tabs>
        <w:spacing w:before="120" w:after="120"/>
        <w:jc w:val="both"/>
        <w:rPr>
          <w:rFonts w:ascii="Arial" w:hAnsi="Arial" w:cs="Arial"/>
        </w:rPr>
      </w:pPr>
      <w:r>
        <w:rPr>
          <w:rFonts w:ascii="Arial" w:hAnsi="Arial" w:cs="Arial"/>
        </w:rPr>
        <w:pict w14:anchorId="5E1F8FCA">
          <v:rect id="_x0000_i1029" style="width:470.2pt;height:1pt" o:hralign="center" o:hrstd="t" o:hrnoshade="t" o:hr="t" fillcolor="silver" stroked="f"/>
        </w:pict>
      </w:r>
    </w:p>
    <w:p w14:paraId="2000A449" w14:textId="77777777" w:rsidR="00C1744E" w:rsidRPr="005B09D5" w:rsidRDefault="00237CDB" w:rsidP="00C1744E">
      <w:pPr>
        <w:pStyle w:val="Heading3"/>
        <w:spacing w:before="120"/>
        <w:rPr>
          <w:i/>
          <w:iCs/>
          <w:color w:val="00703C"/>
          <w:sz w:val="28"/>
          <w:szCs w:val="28"/>
        </w:rPr>
      </w:pPr>
      <w:r w:rsidRPr="005B09D5">
        <w:rPr>
          <w:i/>
          <w:iCs/>
          <w:color w:val="00703C"/>
          <w:sz w:val="28"/>
          <w:szCs w:val="28"/>
        </w:rPr>
        <w:t>Key Responsibilities</w:t>
      </w:r>
    </w:p>
    <w:p w14:paraId="53AB4542" w14:textId="77777777" w:rsidR="008A5F2F" w:rsidRPr="005B09D5"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AD1335" w:rsidRPr="00AC3E4C" w14:paraId="1F34FF9F" w14:textId="77777777" w:rsidTr="00AC3E4C">
        <w:trPr>
          <w:tblHeader/>
        </w:trPr>
        <w:tc>
          <w:tcPr>
            <w:tcW w:w="2579" w:type="dxa"/>
            <w:shd w:val="clear" w:color="auto" w:fill="00703C"/>
          </w:tcPr>
          <w:p w14:paraId="6C8CCC6A"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Area</w:t>
            </w:r>
          </w:p>
        </w:tc>
        <w:tc>
          <w:tcPr>
            <w:tcW w:w="7069" w:type="dxa"/>
            <w:shd w:val="clear" w:color="auto" w:fill="00703C"/>
          </w:tcPr>
          <w:p w14:paraId="708AFDBC"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Responsibilities</w:t>
            </w:r>
          </w:p>
        </w:tc>
      </w:tr>
      <w:tr w:rsidR="00AD1335" w:rsidRPr="00AC3E4C" w14:paraId="4EE10737" w14:textId="77777777" w:rsidTr="00AC3E4C">
        <w:tc>
          <w:tcPr>
            <w:tcW w:w="2579" w:type="dxa"/>
          </w:tcPr>
          <w:p w14:paraId="5A2804A7" w14:textId="63DC4B41" w:rsidR="00AD1335" w:rsidRPr="00AC3E4C" w:rsidRDefault="00415192"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 xml:space="preserve">Analytics </w:t>
            </w:r>
            <w:r w:rsidR="00873087">
              <w:rPr>
                <w:rFonts w:ascii="Arial" w:hAnsi="Arial" w:cs="Arial"/>
                <w:color w:val="00703C"/>
                <w:sz w:val="20"/>
                <w:szCs w:val="20"/>
              </w:rPr>
              <w:t>Insights</w:t>
            </w:r>
            <w:r>
              <w:rPr>
                <w:rFonts w:ascii="Arial" w:hAnsi="Arial" w:cs="Arial"/>
                <w:color w:val="00703C"/>
                <w:sz w:val="20"/>
                <w:szCs w:val="20"/>
              </w:rPr>
              <w:t xml:space="preserve"> </w:t>
            </w:r>
            <w:r w:rsidR="00873087">
              <w:rPr>
                <w:rFonts w:ascii="Arial" w:hAnsi="Arial" w:cs="Arial"/>
                <w:color w:val="00703C"/>
                <w:sz w:val="20"/>
                <w:szCs w:val="20"/>
              </w:rPr>
              <w:t>Delivery</w:t>
            </w:r>
          </w:p>
          <w:p w14:paraId="4C476331" w14:textId="77777777" w:rsidR="00AD1335" w:rsidRPr="00AC3E4C" w:rsidRDefault="00AD1335" w:rsidP="00AC3E4C">
            <w:pPr>
              <w:tabs>
                <w:tab w:val="left" w:pos="-2268"/>
              </w:tabs>
              <w:spacing w:before="60" w:afterLines="80" w:after="192"/>
              <w:rPr>
                <w:rFonts w:ascii="Arial" w:hAnsi="Arial" w:cs="Arial"/>
                <w:color w:val="00703C"/>
                <w:sz w:val="20"/>
                <w:szCs w:val="20"/>
              </w:rPr>
            </w:pPr>
          </w:p>
        </w:tc>
        <w:tc>
          <w:tcPr>
            <w:tcW w:w="7069" w:type="dxa"/>
            <w:shd w:val="clear" w:color="auto" w:fill="FFFFFF"/>
          </w:tcPr>
          <w:p w14:paraId="1E7ECE05" w14:textId="76EC894C" w:rsidR="00E87863" w:rsidRPr="00893AAC" w:rsidRDefault="00E87863"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7C46F3FE">
              <w:rPr>
                <w:rFonts w:ascii="Arial" w:hAnsi="Arial" w:cs="Arial"/>
                <w:sz w:val="20"/>
                <w:szCs w:val="20"/>
              </w:rPr>
              <w:t xml:space="preserve">Liaise with </w:t>
            </w:r>
            <w:r>
              <w:rPr>
                <w:rFonts w:ascii="Arial" w:hAnsi="Arial" w:cs="Arial"/>
                <w:sz w:val="20"/>
                <w:szCs w:val="20"/>
              </w:rPr>
              <w:t xml:space="preserve">the relevant remediation </w:t>
            </w:r>
            <w:r w:rsidRPr="7C46F3FE">
              <w:rPr>
                <w:rFonts w:ascii="Arial" w:hAnsi="Arial" w:cs="Arial"/>
                <w:sz w:val="20"/>
                <w:szCs w:val="20"/>
              </w:rPr>
              <w:t>project team to develop and agree upon analysis requirements.</w:t>
            </w:r>
          </w:p>
          <w:p w14:paraId="01B25C1A" w14:textId="77777777" w:rsidR="00E87863" w:rsidRPr="002E1B1A" w:rsidRDefault="00E87863"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895E12">
              <w:rPr>
                <w:rFonts w:ascii="Arial" w:hAnsi="Arial" w:cs="Arial"/>
                <w:sz w:val="20"/>
                <w:szCs w:val="20"/>
              </w:rPr>
              <w:t>Design and develop appropriate extracts and data collection sets, for analysis and interpretation</w:t>
            </w:r>
            <w:r>
              <w:rPr>
                <w:rFonts w:ascii="Arial" w:hAnsi="Arial" w:cs="Arial"/>
                <w:sz w:val="20"/>
                <w:szCs w:val="20"/>
              </w:rPr>
              <w:t>.</w:t>
            </w:r>
          </w:p>
          <w:p w14:paraId="32841375" w14:textId="77777777" w:rsidR="00E87863" w:rsidRDefault="00E87863"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Explore options and put forward recommendations for analytical solutions.</w:t>
            </w:r>
          </w:p>
          <w:p w14:paraId="0FEB4A53" w14:textId="77777777" w:rsidR="00E87863" w:rsidRDefault="00E87863"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Design and document calculation and analysis methodologies and assumptions.</w:t>
            </w:r>
          </w:p>
          <w:p w14:paraId="508EFBF6" w14:textId="01FBACF8" w:rsidR="00E87863" w:rsidRDefault="00837D8D"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Perform q</w:t>
            </w:r>
            <w:r w:rsidR="00E87863">
              <w:rPr>
                <w:rFonts w:ascii="Arial" w:hAnsi="Arial" w:cs="Arial"/>
                <w:sz w:val="20"/>
                <w:szCs w:val="20"/>
              </w:rPr>
              <w:t>uantitative work linked to client remediation</w:t>
            </w:r>
            <w:r>
              <w:rPr>
                <w:rFonts w:ascii="Arial" w:hAnsi="Arial" w:cs="Arial"/>
                <w:sz w:val="20"/>
                <w:szCs w:val="20"/>
              </w:rPr>
              <w:t>s,</w:t>
            </w:r>
            <w:r w:rsidR="00E87863">
              <w:rPr>
                <w:rFonts w:ascii="Arial" w:hAnsi="Arial" w:cs="Arial"/>
                <w:sz w:val="20"/>
                <w:szCs w:val="20"/>
              </w:rPr>
              <w:t xml:space="preserve"> including a</w:t>
            </w:r>
            <w:r w:rsidR="00E87863" w:rsidRPr="002E1B1A">
              <w:rPr>
                <w:rFonts w:ascii="Arial" w:hAnsi="Arial" w:cs="Arial"/>
                <w:sz w:val="20"/>
                <w:szCs w:val="20"/>
              </w:rPr>
              <w:t>ssessing potential client financial impact</w:t>
            </w:r>
            <w:r w:rsidR="00E87863">
              <w:rPr>
                <w:rFonts w:ascii="Arial" w:hAnsi="Arial" w:cs="Arial"/>
                <w:sz w:val="20"/>
                <w:szCs w:val="20"/>
              </w:rPr>
              <w:t>.</w:t>
            </w:r>
          </w:p>
          <w:p w14:paraId="55B544A6" w14:textId="57B8553E" w:rsidR="00322A03" w:rsidRPr="002E1B1A" w:rsidRDefault="008140DA"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Develop and </w:t>
            </w:r>
            <w:r w:rsidR="00A277EE">
              <w:rPr>
                <w:rFonts w:ascii="Arial" w:hAnsi="Arial" w:cs="Arial"/>
                <w:sz w:val="20"/>
                <w:szCs w:val="20"/>
              </w:rPr>
              <w:t xml:space="preserve">conduct analysis for client remediations </w:t>
            </w:r>
            <w:r w:rsidR="002C77F4">
              <w:rPr>
                <w:rFonts w:ascii="Arial" w:hAnsi="Arial" w:cs="Arial"/>
                <w:sz w:val="20"/>
                <w:szCs w:val="20"/>
              </w:rPr>
              <w:t>using price emulators.</w:t>
            </w:r>
          </w:p>
          <w:p w14:paraId="3CC08CC1" w14:textId="41E49F8E" w:rsidR="0048349F" w:rsidRPr="0048349F" w:rsidRDefault="00E87863"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Pr>
                <w:rFonts w:ascii="Arial" w:hAnsi="Arial" w:cs="Arial"/>
                <w:sz w:val="20"/>
                <w:szCs w:val="20"/>
              </w:rPr>
              <w:t>Support assurance activities.</w:t>
            </w:r>
          </w:p>
          <w:p w14:paraId="09B1044D" w14:textId="242E29A1" w:rsidR="00F9308C" w:rsidRPr="00F9308C" w:rsidRDefault="00F9308C" w:rsidP="00E8786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9308C">
              <w:rPr>
                <w:rFonts w:ascii="Arial" w:hAnsi="Arial" w:cs="Arial"/>
                <w:sz w:val="20"/>
                <w:szCs w:val="20"/>
                <w:lang w:val="en-NZ"/>
              </w:rPr>
              <w:t>Deliver high</w:t>
            </w:r>
            <w:r w:rsidRPr="00F9308C">
              <w:rPr>
                <w:rFonts w:ascii="Arial" w:hAnsi="Arial" w:cs="Arial"/>
                <w:sz w:val="20"/>
                <w:szCs w:val="20"/>
                <w:lang w:val="en-NZ"/>
              </w:rPr>
              <w:noBreakHyphen/>
              <w:t xml:space="preserve">quality analysis and insights that address </w:t>
            </w:r>
            <w:r w:rsidR="00337518">
              <w:rPr>
                <w:rFonts w:ascii="Arial" w:hAnsi="Arial" w:cs="Arial"/>
                <w:sz w:val="20"/>
                <w:szCs w:val="20"/>
                <w:lang w:val="en-NZ"/>
              </w:rPr>
              <w:t>remediation project team</w:t>
            </w:r>
            <w:r w:rsidRPr="00F9308C">
              <w:rPr>
                <w:rFonts w:ascii="Arial" w:hAnsi="Arial" w:cs="Arial"/>
                <w:sz w:val="20"/>
                <w:szCs w:val="20"/>
                <w:lang w:val="en-NZ"/>
              </w:rPr>
              <w:t xml:space="preserve"> </w:t>
            </w:r>
            <w:r w:rsidR="00793B30" w:rsidRPr="00F9308C">
              <w:rPr>
                <w:rFonts w:ascii="Arial" w:hAnsi="Arial" w:cs="Arial"/>
                <w:sz w:val="20"/>
                <w:szCs w:val="20"/>
                <w:lang w:val="en-NZ"/>
              </w:rPr>
              <w:t>questions and</w:t>
            </w:r>
            <w:r w:rsidRPr="00F9308C">
              <w:rPr>
                <w:rFonts w:ascii="Arial" w:hAnsi="Arial" w:cs="Arial"/>
                <w:sz w:val="20"/>
                <w:szCs w:val="20"/>
                <w:lang w:val="en-NZ"/>
              </w:rPr>
              <w:t xml:space="preserve"> support the design and use of reporting within core business platforms where appropriate.</w:t>
            </w:r>
          </w:p>
          <w:p w14:paraId="7F34A50C" w14:textId="533D454F" w:rsidR="00BF303D" w:rsidRPr="00BF303D" w:rsidRDefault="00BF303D" w:rsidP="00BF303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F303D">
              <w:rPr>
                <w:rFonts w:ascii="Arial" w:hAnsi="Arial" w:cs="Arial"/>
                <w:sz w:val="20"/>
                <w:szCs w:val="20"/>
                <w:lang w:val="en-NZ"/>
              </w:rPr>
              <w:t xml:space="preserve">Apply appropriate analytical techniques, including descriptive, diagnostic, and where relevant predictive analysis. </w:t>
            </w:r>
          </w:p>
          <w:p w14:paraId="21ACAFDA" w14:textId="66F7C1F8" w:rsidR="00BF303D" w:rsidRPr="00BF303D" w:rsidRDefault="00BF303D" w:rsidP="00BF303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F303D">
              <w:rPr>
                <w:rFonts w:ascii="Arial" w:hAnsi="Arial" w:cs="Arial"/>
                <w:sz w:val="20"/>
                <w:szCs w:val="20"/>
                <w:lang w:val="en-NZ"/>
              </w:rPr>
              <w:t>Apply advanced analytics techniques, including AI</w:t>
            </w:r>
            <w:r w:rsidRPr="00BF303D">
              <w:rPr>
                <w:rFonts w:ascii="Arial" w:hAnsi="Arial" w:cs="Arial"/>
                <w:sz w:val="20"/>
                <w:szCs w:val="20"/>
                <w:lang w:val="en-NZ"/>
              </w:rPr>
              <w:noBreakHyphen/>
              <w:t xml:space="preserve">enabled approaches where appropriate, to generate insights that deliver clear business value, in alignment with governance and agreed standards. </w:t>
            </w:r>
          </w:p>
          <w:p w14:paraId="3E1BE305" w14:textId="0ADD74AA" w:rsidR="00AD1335" w:rsidRPr="00BF303D" w:rsidRDefault="00BF303D" w:rsidP="00BF303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F303D">
              <w:rPr>
                <w:rFonts w:ascii="Arial" w:hAnsi="Arial" w:cs="Arial"/>
                <w:sz w:val="20"/>
                <w:szCs w:val="20"/>
                <w:lang w:val="en-NZ"/>
              </w:rPr>
              <w:t xml:space="preserve">Develop and maintain analytics outputs that are accurate, reliable, and fit </w:t>
            </w:r>
            <w:r w:rsidRPr="00BF303D">
              <w:rPr>
                <w:rFonts w:ascii="Arial" w:hAnsi="Arial" w:cs="Arial"/>
                <w:sz w:val="20"/>
                <w:szCs w:val="20"/>
                <w:lang w:val="en-NZ"/>
              </w:rPr>
              <w:lastRenderedPageBreak/>
              <w:t>for purpose.</w:t>
            </w:r>
          </w:p>
        </w:tc>
      </w:tr>
      <w:tr w:rsidR="00AD1335" w:rsidRPr="00AC3E4C" w14:paraId="03CED254" w14:textId="77777777" w:rsidTr="00AC3E4C">
        <w:tc>
          <w:tcPr>
            <w:tcW w:w="2579" w:type="dxa"/>
          </w:tcPr>
          <w:p w14:paraId="29DE9F00" w14:textId="620CC0F8" w:rsidR="00AD1335" w:rsidRPr="00AC3E4C" w:rsidRDefault="00944DEC"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lastRenderedPageBreak/>
              <w:t>Stakeholder Engagement</w:t>
            </w:r>
            <w:r w:rsidR="00AD1335" w:rsidRPr="00AC3E4C">
              <w:rPr>
                <w:rFonts w:ascii="Arial" w:hAnsi="Arial" w:cs="Arial"/>
                <w:color w:val="00703C"/>
                <w:sz w:val="20"/>
                <w:szCs w:val="20"/>
              </w:rPr>
              <w:t xml:space="preserve"> </w:t>
            </w:r>
          </w:p>
        </w:tc>
        <w:tc>
          <w:tcPr>
            <w:tcW w:w="7069" w:type="dxa"/>
            <w:shd w:val="clear" w:color="auto" w:fill="FFFFFF"/>
          </w:tcPr>
          <w:p w14:paraId="44D3D504" w14:textId="1BE5853D" w:rsidR="00944DEC" w:rsidRPr="00944DEC" w:rsidRDefault="00944DEC" w:rsidP="00944DE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 xml:space="preserve">Work proactively with business stakeholders to understand information needs and translate them into analytical approaches. </w:t>
            </w:r>
          </w:p>
          <w:p w14:paraId="0D9FC636" w14:textId="67158D6A" w:rsidR="00944DEC" w:rsidRPr="00944DEC" w:rsidRDefault="00944DEC" w:rsidP="00944DE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 xml:space="preserve">Present and discuss insights with stakeholders, clearly explaining assumptions, limitations, and implications. </w:t>
            </w:r>
          </w:p>
          <w:p w14:paraId="799C7F5C" w14:textId="068204DE" w:rsidR="004E699C" w:rsidRPr="000776C7" w:rsidRDefault="00944DEC" w:rsidP="000776C7">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 xml:space="preserve">Act as a trusted partner, supporting stakeholders to interpret and use insights effectively. </w:t>
            </w:r>
          </w:p>
        </w:tc>
      </w:tr>
      <w:tr w:rsidR="00AD1335" w:rsidRPr="00AC3E4C" w14:paraId="4AF092CE" w14:textId="77777777" w:rsidTr="00AC3E4C">
        <w:tc>
          <w:tcPr>
            <w:tcW w:w="2579" w:type="dxa"/>
          </w:tcPr>
          <w:p w14:paraId="30679531" w14:textId="1EA0EA51" w:rsidR="00AD1335" w:rsidRPr="00AC3E4C" w:rsidRDefault="00D2421A"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Data Analysis &amp; Modelling</w:t>
            </w:r>
          </w:p>
        </w:tc>
        <w:tc>
          <w:tcPr>
            <w:tcW w:w="7069" w:type="dxa"/>
            <w:shd w:val="clear" w:color="auto" w:fill="FFFFFF"/>
          </w:tcPr>
          <w:p w14:paraId="6BE493EE" w14:textId="078CD46B" w:rsidR="00CA6FAD" w:rsidRPr="00CA6FAD" w:rsidRDefault="00CA6FAD" w:rsidP="00CA6FAD">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CA6FAD">
              <w:rPr>
                <w:rFonts w:ascii="Arial" w:hAnsi="Arial" w:cs="Arial"/>
                <w:sz w:val="20"/>
                <w:szCs w:val="20"/>
                <w:lang w:val="en-NZ"/>
              </w:rPr>
              <w:t xml:space="preserve">Design and develop data sets, analytical models, and transformations required to support analysis and insight delivery. </w:t>
            </w:r>
          </w:p>
          <w:p w14:paraId="3B0C0932" w14:textId="3D70F442" w:rsidR="00CA6FAD" w:rsidRPr="00CA6FAD" w:rsidRDefault="00CA6FAD" w:rsidP="00CA6FAD">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CA6FAD">
              <w:rPr>
                <w:rFonts w:ascii="Arial" w:hAnsi="Arial" w:cs="Arial"/>
                <w:sz w:val="20"/>
                <w:szCs w:val="20"/>
                <w:lang w:val="en-NZ"/>
              </w:rPr>
              <w:t>Contribute to statistical and analytical modelling where appropriate, ensuring methods are robust, transparent, and well</w:t>
            </w:r>
            <w:r w:rsidRPr="00CA6FAD">
              <w:rPr>
                <w:rFonts w:ascii="Arial" w:hAnsi="Arial" w:cs="Arial"/>
                <w:sz w:val="20"/>
                <w:szCs w:val="20"/>
                <w:lang w:val="en-NZ"/>
              </w:rPr>
              <w:noBreakHyphen/>
              <w:t xml:space="preserve">understood. </w:t>
            </w:r>
          </w:p>
          <w:p w14:paraId="1452E38F" w14:textId="4FA966D0" w:rsidR="00AD1335" w:rsidRPr="00CA6FAD" w:rsidRDefault="00CA6FAD" w:rsidP="00CA6FAD">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CA6FAD">
              <w:rPr>
                <w:rFonts w:ascii="Arial" w:hAnsi="Arial" w:cs="Arial"/>
                <w:sz w:val="20"/>
                <w:szCs w:val="20"/>
                <w:lang w:val="en-NZ"/>
              </w:rPr>
              <w:t>Work with data engineering and platform teams to ensure data required for analysis is available, reliable, and well understood.</w:t>
            </w:r>
          </w:p>
        </w:tc>
      </w:tr>
      <w:tr w:rsidR="00AD1335" w:rsidRPr="00AC3E4C" w14:paraId="0A70DE86" w14:textId="77777777" w:rsidTr="00AC3E4C">
        <w:tc>
          <w:tcPr>
            <w:tcW w:w="2579" w:type="dxa"/>
          </w:tcPr>
          <w:p w14:paraId="0A3CC8F9" w14:textId="438545F3" w:rsidR="00AD1335" w:rsidRPr="00AC3E4C" w:rsidRDefault="00CA6FAD"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Visualisation &amp; Communication</w:t>
            </w:r>
          </w:p>
        </w:tc>
        <w:tc>
          <w:tcPr>
            <w:tcW w:w="7069" w:type="dxa"/>
            <w:shd w:val="clear" w:color="auto" w:fill="FFFFFF"/>
          </w:tcPr>
          <w:p w14:paraId="2AC23125" w14:textId="03D9667B" w:rsidR="005E4C87" w:rsidRPr="005E4C87" w:rsidRDefault="005E4C87" w:rsidP="005E4C87">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5E4C87">
              <w:rPr>
                <w:rFonts w:ascii="Arial" w:hAnsi="Arial" w:cs="Arial"/>
                <w:sz w:val="20"/>
                <w:szCs w:val="20"/>
                <w:lang w:val="en-NZ"/>
              </w:rPr>
              <w:t>Develop visualisations and analytical outputs that clearly communicate insights to technical and non</w:t>
            </w:r>
            <w:r w:rsidRPr="005E4C87">
              <w:rPr>
                <w:rFonts w:ascii="Arial" w:hAnsi="Arial" w:cs="Arial"/>
                <w:sz w:val="20"/>
                <w:szCs w:val="20"/>
                <w:lang w:val="en-NZ"/>
              </w:rPr>
              <w:noBreakHyphen/>
              <w:t xml:space="preserve">technical audiences. </w:t>
            </w:r>
          </w:p>
          <w:p w14:paraId="58F6ADA8" w14:textId="7E7A3D86" w:rsidR="00AD1335" w:rsidRPr="005E4C87" w:rsidRDefault="005E4C87" w:rsidP="005E4C87">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5E4C87">
              <w:rPr>
                <w:rFonts w:ascii="Arial" w:hAnsi="Arial" w:cs="Arial"/>
                <w:sz w:val="20"/>
                <w:szCs w:val="20"/>
                <w:lang w:val="en-NZ"/>
              </w:rPr>
              <w:t>Translate complex analytical findings into clear, actionable messages that support effective decision</w:t>
            </w:r>
            <w:r w:rsidRPr="005E4C87">
              <w:rPr>
                <w:rFonts w:ascii="Arial" w:hAnsi="Arial" w:cs="Arial"/>
                <w:sz w:val="20"/>
                <w:szCs w:val="20"/>
                <w:lang w:val="en-NZ"/>
              </w:rPr>
              <w:noBreakHyphen/>
              <w:t>making.</w:t>
            </w:r>
          </w:p>
        </w:tc>
      </w:tr>
      <w:tr w:rsidR="00662326" w:rsidRPr="00AC3E4C" w14:paraId="1EB345F9" w14:textId="77777777" w:rsidTr="00AC3E4C">
        <w:tc>
          <w:tcPr>
            <w:tcW w:w="2579" w:type="dxa"/>
          </w:tcPr>
          <w:p w14:paraId="27158203" w14:textId="2319D2F3" w:rsidR="00662326" w:rsidRPr="00893AAC" w:rsidRDefault="005E4C8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Ways of Working &amp; Quality</w:t>
            </w:r>
          </w:p>
          <w:p w14:paraId="7F2983EE" w14:textId="77777777" w:rsidR="00662326" w:rsidRPr="00893AAC" w:rsidRDefault="00662326" w:rsidP="00321414">
            <w:pPr>
              <w:tabs>
                <w:tab w:val="num" w:pos="426"/>
                <w:tab w:val="left" w:pos="1800"/>
              </w:tabs>
              <w:spacing w:before="60" w:afterLines="80" w:after="192"/>
              <w:rPr>
                <w:rFonts w:ascii="Arial" w:hAnsi="Arial" w:cs="Arial"/>
                <w:color w:val="00703C"/>
                <w:sz w:val="20"/>
                <w:szCs w:val="20"/>
                <w:lang w:val="en-NZ"/>
              </w:rPr>
            </w:pPr>
          </w:p>
        </w:tc>
        <w:tc>
          <w:tcPr>
            <w:tcW w:w="7069" w:type="dxa"/>
            <w:shd w:val="clear" w:color="auto" w:fill="FFFFFF"/>
          </w:tcPr>
          <w:p w14:paraId="152AABF6" w14:textId="79A9E3D6" w:rsidR="004B15DC" w:rsidRPr="004B15DC" w:rsidRDefault="004B15DC" w:rsidP="004B15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B15DC">
              <w:rPr>
                <w:rFonts w:ascii="Arial" w:hAnsi="Arial" w:cs="Arial"/>
                <w:sz w:val="20"/>
                <w:szCs w:val="20"/>
                <w:lang w:val="en-NZ"/>
              </w:rPr>
              <w:t xml:space="preserve">Deliver work in alignment with agreed priorities, standards, and ways of working. </w:t>
            </w:r>
          </w:p>
          <w:p w14:paraId="2113C520" w14:textId="059689C6" w:rsidR="004B15DC" w:rsidRPr="004B15DC" w:rsidRDefault="004B15DC" w:rsidP="004B15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B15DC">
              <w:rPr>
                <w:rFonts w:ascii="Arial" w:hAnsi="Arial" w:cs="Arial"/>
                <w:sz w:val="20"/>
                <w:szCs w:val="20"/>
                <w:lang w:val="en-NZ"/>
              </w:rPr>
              <w:t xml:space="preserve">Ensure outputs meet quality, governance, and documentation expectations. </w:t>
            </w:r>
          </w:p>
          <w:p w14:paraId="65FC0E2F" w14:textId="7B301C4F" w:rsidR="00662326" w:rsidRDefault="004B15DC" w:rsidP="004B15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B15DC">
              <w:rPr>
                <w:rFonts w:ascii="Arial" w:hAnsi="Arial" w:cs="Arial"/>
                <w:sz w:val="20"/>
                <w:szCs w:val="20"/>
                <w:lang w:val="en-NZ"/>
              </w:rPr>
              <w:t>Contribute to continuous improvement of practices, tools, and methods across the team.</w:t>
            </w:r>
          </w:p>
          <w:p w14:paraId="4841ADE3" w14:textId="77777777" w:rsidR="003037A0" w:rsidRDefault="003037A0" w:rsidP="003037A0">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037A0">
              <w:rPr>
                <w:rFonts w:ascii="Arial" w:hAnsi="Arial" w:cs="Arial"/>
                <w:sz w:val="20"/>
                <w:szCs w:val="20"/>
                <w:lang w:val="en-NZ"/>
              </w:rPr>
              <w:t>Identify and proactively flag data, analytical, or reporting risks (including data quality issues, assumptions, or limitations), and work with appropriate stakeholders to address or escalate these in line with agreed practices.</w:t>
            </w:r>
          </w:p>
          <w:p w14:paraId="1DAA05F5" w14:textId="3676CB26" w:rsidR="0052397A" w:rsidRPr="0052397A" w:rsidRDefault="0052397A" w:rsidP="0052397A">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2397A">
              <w:rPr>
                <w:rFonts w:ascii="Arial" w:hAnsi="Arial" w:cs="Arial"/>
                <w:sz w:val="20"/>
                <w:szCs w:val="20"/>
                <w:lang w:val="en-NZ"/>
              </w:rPr>
              <w:t xml:space="preserve">Work in alignment with FMG’s data and information governance </w:t>
            </w:r>
            <w:r w:rsidR="00793B30" w:rsidRPr="0052397A">
              <w:rPr>
                <w:rFonts w:ascii="Arial" w:hAnsi="Arial" w:cs="Arial"/>
                <w:sz w:val="20"/>
                <w:szCs w:val="20"/>
                <w:lang w:val="en-NZ"/>
              </w:rPr>
              <w:t>standards and</w:t>
            </w:r>
            <w:r w:rsidRPr="0052397A">
              <w:rPr>
                <w:rFonts w:ascii="Arial" w:hAnsi="Arial" w:cs="Arial"/>
                <w:sz w:val="20"/>
                <w:szCs w:val="20"/>
                <w:lang w:val="en-NZ"/>
              </w:rPr>
              <w:t xml:space="preserve"> engage with the Data &amp; Information Governance function to seek guidance or escalate data quality, privacy, or appropriate</w:t>
            </w:r>
            <w:r w:rsidRPr="0052397A">
              <w:rPr>
                <w:rFonts w:ascii="Arial" w:hAnsi="Arial" w:cs="Arial"/>
                <w:sz w:val="20"/>
                <w:szCs w:val="20"/>
                <w:lang w:val="en-NZ"/>
              </w:rPr>
              <w:noBreakHyphen/>
              <w:t>use considerations where required.</w:t>
            </w:r>
          </w:p>
        </w:tc>
      </w:tr>
      <w:tr w:rsidR="00611637" w:rsidRPr="00AC3E4C" w14:paraId="2849E615" w14:textId="77777777" w:rsidTr="00AC3E4C">
        <w:tc>
          <w:tcPr>
            <w:tcW w:w="2579" w:type="dxa"/>
          </w:tcPr>
          <w:p w14:paraId="6C9656DA" w14:textId="70670EC2" w:rsidR="00611637" w:rsidRDefault="004B15DC"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Team Contribution</w:t>
            </w:r>
          </w:p>
        </w:tc>
        <w:tc>
          <w:tcPr>
            <w:tcW w:w="7069" w:type="dxa"/>
            <w:shd w:val="clear" w:color="auto" w:fill="FFFFFF"/>
          </w:tcPr>
          <w:p w14:paraId="3B37CE8D" w14:textId="7CD862EE" w:rsidR="002F486B" w:rsidRDefault="002F486B" w:rsidP="002F486B">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F486B">
              <w:rPr>
                <w:rFonts w:ascii="Arial" w:hAnsi="Arial" w:cs="Arial"/>
                <w:sz w:val="20"/>
                <w:szCs w:val="20"/>
                <w:lang w:val="en-NZ"/>
              </w:rPr>
              <w:t xml:space="preserve">Actively contribute through collaboration, peer support, and knowledge sharing. </w:t>
            </w:r>
          </w:p>
          <w:p w14:paraId="7A09688C" w14:textId="77777777" w:rsidR="00611637" w:rsidRDefault="002F486B" w:rsidP="002F486B">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F486B">
              <w:rPr>
                <w:rFonts w:ascii="Arial" w:hAnsi="Arial" w:cs="Arial"/>
                <w:sz w:val="20"/>
                <w:szCs w:val="20"/>
                <w:lang w:val="en-NZ"/>
              </w:rPr>
              <w:t>Contribute to the broader analytics community by sharing knowledge, standards, and approaches, helping to uplift analytical capability across central and business</w:t>
            </w:r>
            <w:r w:rsidRPr="002F486B">
              <w:rPr>
                <w:rFonts w:ascii="Arial" w:hAnsi="Arial" w:cs="Arial"/>
                <w:sz w:val="20"/>
                <w:szCs w:val="20"/>
                <w:lang w:val="en-NZ"/>
              </w:rPr>
              <w:noBreakHyphen/>
              <w:t>aligned analytics roles.</w:t>
            </w:r>
          </w:p>
          <w:p w14:paraId="5E8ED338" w14:textId="34897717" w:rsidR="00773A8D" w:rsidRPr="002F486B" w:rsidRDefault="00773A8D" w:rsidP="002F486B">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773A8D">
              <w:rPr>
                <w:rFonts w:ascii="Arial" w:hAnsi="Arial" w:cs="Arial"/>
                <w:sz w:val="20"/>
                <w:szCs w:val="20"/>
                <w:lang w:val="en-NZ"/>
              </w:rPr>
              <w:t>Complete tasks in agreed timeframes and provide reporting</w:t>
            </w:r>
            <w:r w:rsidR="00483AFF">
              <w:rPr>
                <w:rFonts w:ascii="Arial" w:hAnsi="Arial" w:cs="Arial"/>
                <w:sz w:val="20"/>
                <w:szCs w:val="20"/>
                <w:lang w:val="en-NZ"/>
              </w:rPr>
              <w:t xml:space="preserve"> as required.</w:t>
            </w:r>
          </w:p>
        </w:tc>
      </w:tr>
      <w:tr w:rsidR="00B509FE" w:rsidRPr="00AC3E4C" w14:paraId="218E4306" w14:textId="77777777" w:rsidTr="00AC3E4C">
        <w:tc>
          <w:tcPr>
            <w:tcW w:w="2579" w:type="dxa"/>
          </w:tcPr>
          <w:p w14:paraId="73015904" w14:textId="76913088" w:rsidR="00B509FE" w:rsidRDefault="00B509FE"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Service Mindset</w:t>
            </w:r>
          </w:p>
        </w:tc>
        <w:tc>
          <w:tcPr>
            <w:tcW w:w="7069" w:type="dxa"/>
            <w:shd w:val="clear" w:color="auto" w:fill="FFFFFF"/>
          </w:tcPr>
          <w:p w14:paraId="362C6D15" w14:textId="62A928D8" w:rsidR="00AB0599" w:rsidRPr="00AB0599" w:rsidRDefault="00AB0599" w:rsidP="00AB059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B0599">
              <w:rPr>
                <w:rFonts w:ascii="Arial" w:hAnsi="Arial" w:cs="Arial"/>
                <w:sz w:val="20"/>
                <w:szCs w:val="20"/>
                <w:lang w:val="en-NZ"/>
              </w:rPr>
              <w:t xml:space="preserve">Demonstrate a strong service mindset by delivering </w:t>
            </w:r>
            <w:r w:rsidR="00C35396">
              <w:rPr>
                <w:rFonts w:ascii="Arial" w:hAnsi="Arial" w:cs="Arial"/>
                <w:sz w:val="20"/>
                <w:szCs w:val="20"/>
                <w:lang w:val="en-NZ"/>
              </w:rPr>
              <w:t>work that is</w:t>
            </w:r>
            <w:r w:rsidRPr="00AB0599">
              <w:rPr>
                <w:rFonts w:ascii="Arial" w:hAnsi="Arial" w:cs="Arial"/>
                <w:sz w:val="20"/>
                <w:szCs w:val="20"/>
                <w:lang w:val="en-NZ"/>
              </w:rPr>
              <w:t xml:space="preserve"> timely, </w:t>
            </w:r>
            <w:r w:rsidRPr="00AB0599">
              <w:rPr>
                <w:rFonts w:ascii="Arial" w:hAnsi="Arial" w:cs="Arial"/>
                <w:sz w:val="20"/>
                <w:szCs w:val="20"/>
                <w:lang w:val="en-NZ"/>
              </w:rPr>
              <w:lastRenderedPageBreak/>
              <w:t xml:space="preserve">reliable, and aligned to business needs. </w:t>
            </w:r>
          </w:p>
          <w:p w14:paraId="25235860" w14:textId="77777777" w:rsidR="00B509FE" w:rsidRDefault="00AB0599" w:rsidP="00AB059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B0599">
              <w:rPr>
                <w:rFonts w:ascii="Arial" w:hAnsi="Arial" w:cs="Arial"/>
                <w:sz w:val="20"/>
                <w:szCs w:val="20"/>
                <w:lang w:val="en-NZ"/>
              </w:rPr>
              <w:t>Ensure work is completed to a high standard and communicated clearly, with consideration of downstream business impact.</w:t>
            </w:r>
          </w:p>
          <w:p w14:paraId="15C0D3E9" w14:textId="0E90DDC2" w:rsidR="00605773" w:rsidRPr="00605773" w:rsidRDefault="00605773" w:rsidP="0060577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605773">
              <w:rPr>
                <w:rFonts w:ascii="Arial" w:hAnsi="Arial" w:cs="Arial"/>
                <w:sz w:val="20"/>
                <w:szCs w:val="20"/>
                <w:lang w:val="en-NZ"/>
              </w:rPr>
              <w:t>Apply sound judgement and professional standards to ensure analytics and insights are trustworthy, appropriate, and fit for purpose.</w:t>
            </w:r>
          </w:p>
        </w:tc>
      </w:tr>
      <w:tr w:rsidR="009F2255" w:rsidRPr="00AC3E4C" w14:paraId="3E398650" w14:textId="77777777" w:rsidTr="00AC3E4C">
        <w:tc>
          <w:tcPr>
            <w:tcW w:w="2579" w:type="dxa"/>
          </w:tcPr>
          <w:p w14:paraId="459BD6F6" w14:textId="4A7E116F" w:rsidR="009F2255" w:rsidRDefault="009F2255"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lastRenderedPageBreak/>
              <w:t>Other Duties</w:t>
            </w:r>
          </w:p>
        </w:tc>
        <w:tc>
          <w:tcPr>
            <w:tcW w:w="7069" w:type="dxa"/>
            <w:shd w:val="clear" w:color="auto" w:fill="FFFFFF"/>
          </w:tcPr>
          <w:p w14:paraId="0692865E" w14:textId="68FA44A0" w:rsidR="009F2255"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Undertake other tasks as directed by the </w:t>
            </w:r>
            <w:r w:rsidR="00D2310D">
              <w:rPr>
                <w:rFonts w:ascii="Arial" w:hAnsi="Arial" w:cs="Arial"/>
                <w:sz w:val="20"/>
                <w:szCs w:val="20"/>
                <w:lang w:val="en-NZ"/>
              </w:rPr>
              <w:t xml:space="preserve">Head of Insurance Conduct </w:t>
            </w:r>
            <w:r w:rsidRPr="000C7ED7">
              <w:rPr>
                <w:rFonts w:ascii="Arial" w:hAnsi="Arial" w:cs="Arial"/>
                <w:sz w:val="20"/>
                <w:szCs w:val="20"/>
                <w:lang w:val="en-NZ"/>
              </w:rPr>
              <w:t>from time to time</w:t>
            </w:r>
          </w:p>
        </w:tc>
      </w:tr>
      <w:tr w:rsidR="000C7ED7" w:rsidRPr="00AC3E4C" w14:paraId="1E64700E" w14:textId="77777777" w:rsidTr="00AC3E4C">
        <w:tc>
          <w:tcPr>
            <w:tcW w:w="2579" w:type="dxa"/>
          </w:tcPr>
          <w:p w14:paraId="080EF98C" w14:textId="042E44AB" w:rsidR="000C7ED7" w:rsidRDefault="000C7ED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Health &amp; Safety</w:t>
            </w:r>
          </w:p>
        </w:tc>
        <w:tc>
          <w:tcPr>
            <w:tcW w:w="7069" w:type="dxa"/>
            <w:shd w:val="clear" w:color="auto" w:fill="FFFFFF"/>
          </w:tcPr>
          <w:p w14:paraId="34DFC44A" w14:textId="4DAF6598"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Comply with FMG’s safety and wellbeing policies and procedures, including hazard management and incident reporting. </w:t>
            </w:r>
          </w:p>
          <w:p w14:paraId="418820F0" w14:textId="73E57E74"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Work in a safe manner at all times and do not undertake activities without appropriate training.</w:t>
            </w:r>
          </w:p>
        </w:tc>
      </w:tr>
    </w:tbl>
    <w:p w14:paraId="2BBE2C6C" w14:textId="09F2A663" w:rsidR="00DA4E57" w:rsidRDefault="00DA4E57" w:rsidP="00B57C5A"/>
    <w:p w14:paraId="39BAF0B2" w14:textId="381B07C8" w:rsidR="003A367A" w:rsidRPr="005B09D5"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4C0D96" w:rsidRPr="00336491" w14:paraId="6E1E7DEA" w14:textId="77777777" w:rsidTr="00505347">
        <w:trPr>
          <w:trHeight w:val="427"/>
        </w:trPr>
        <w:tc>
          <w:tcPr>
            <w:tcW w:w="9648" w:type="dxa"/>
            <w:gridSpan w:val="2"/>
            <w:shd w:val="clear" w:color="auto" w:fill="00703C"/>
            <w:vAlign w:val="center"/>
          </w:tcPr>
          <w:p w14:paraId="60FD3D1D" w14:textId="77777777" w:rsidR="004C0D96" w:rsidRPr="00336491" w:rsidRDefault="004C0D96" w:rsidP="00505347">
            <w:pPr>
              <w:jc w:val="center"/>
              <w:rPr>
                <w:rFonts w:ascii="Arial" w:hAnsi="Arial" w:cs="Arial"/>
                <w:b/>
                <w:color w:val="FFFFFF"/>
                <w:sz w:val="22"/>
                <w:szCs w:val="22"/>
                <w:lang w:val="en-NZ"/>
              </w:rPr>
            </w:pPr>
            <w:r w:rsidRPr="00336491">
              <w:rPr>
                <w:rFonts w:ascii="Arial" w:hAnsi="Arial" w:cs="Arial"/>
                <w:b/>
                <w:bCs/>
                <w:color w:val="FFFFFF"/>
                <w:sz w:val="22"/>
                <w:szCs w:val="22"/>
                <w:lang w:val="en-NZ"/>
              </w:rPr>
              <w:t>COMPETENCIES</w:t>
            </w:r>
          </w:p>
        </w:tc>
      </w:tr>
      <w:tr w:rsidR="004C0D96" w:rsidRPr="00336491" w14:paraId="74B751D1" w14:textId="77777777" w:rsidTr="00505347">
        <w:trPr>
          <w:trHeight w:val="685"/>
        </w:trPr>
        <w:tc>
          <w:tcPr>
            <w:tcW w:w="7488" w:type="dxa"/>
            <w:vAlign w:val="center"/>
          </w:tcPr>
          <w:p w14:paraId="22D167EE" w14:textId="77777777" w:rsidR="004C0D96" w:rsidRPr="00336491" w:rsidRDefault="004C0D96" w:rsidP="00505347">
            <w:pPr>
              <w:jc w:val="both"/>
              <w:rPr>
                <w:rFonts w:ascii="Arial" w:hAnsi="Arial" w:cs="Arial"/>
                <w:i/>
                <w:iCs/>
                <w:color w:val="808080"/>
                <w:sz w:val="20"/>
                <w:szCs w:val="20"/>
                <w:lang w:val="en-NZ"/>
              </w:rPr>
            </w:pPr>
            <w:r w:rsidRPr="00336491">
              <w:rPr>
                <w:rFonts w:ascii="Arial" w:hAnsi="Arial" w:cs="Arial"/>
                <w:i/>
                <w:iCs/>
                <w:color w:val="808080"/>
                <w:sz w:val="20"/>
                <w:szCs w:val="20"/>
                <w:lang w:val="en-NZ"/>
              </w:rPr>
              <w:t>*see competency framework for behaviours expected at each level</w:t>
            </w:r>
          </w:p>
        </w:tc>
        <w:tc>
          <w:tcPr>
            <w:tcW w:w="2160" w:type="dxa"/>
            <w:vAlign w:val="center"/>
          </w:tcPr>
          <w:p w14:paraId="568CDAEB" w14:textId="77777777" w:rsidR="004C0D96" w:rsidRPr="00336491" w:rsidRDefault="004C0D96" w:rsidP="00505347">
            <w:pPr>
              <w:spacing w:after="120"/>
              <w:jc w:val="center"/>
              <w:rPr>
                <w:rFonts w:ascii="Arial" w:hAnsi="Arial" w:cs="Arial"/>
                <w:bCs/>
                <w:i/>
                <w:iCs/>
                <w:color w:val="808080"/>
                <w:sz w:val="20"/>
                <w:szCs w:val="20"/>
                <w:lang w:val="en-NZ"/>
              </w:rPr>
            </w:pPr>
            <w:r w:rsidRPr="00336491">
              <w:rPr>
                <w:rFonts w:ascii="Arial" w:hAnsi="Arial" w:cs="Arial"/>
                <w:bCs/>
                <w:i/>
                <w:iCs/>
                <w:color w:val="808080"/>
                <w:sz w:val="20"/>
                <w:szCs w:val="20"/>
                <w:lang w:val="en-NZ"/>
              </w:rPr>
              <w:t>Expected Level</w:t>
            </w:r>
          </w:p>
        </w:tc>
      </w:tr>
      <w:tr w:rsidR="004C0D96" w:rsidRPr="00336491" w14:paraId="32875EA1" w14:textId="77777777" w:rsidTr="00505347">
        <w:trPr>
          <w:trHeight w:val="1234"/>
        </w:trPr>
        <w:tc>
          <w:tcPr>
            <w:tcW w:w="7488" w:type="dxa"/>
            <w:vAlign w:val="center"/>
          </w:tcPr>
          <w:p w14:paraId="37CAC712" w14:textId="77777777" w:rsidR="004C0D96" w:rsidRPr="00336491" w:rsidRDefault="004C0D96" w:rsidP="00505347">
            <w:pPr>
              <w:spacing w:before="120" w:after="120"/>
              <w:rPr>
                <w:rFonts w:ascii="Arial" w:hAnsi="Arial" w:cs="Arial"/>
                <w:b/>
                <w:color w:val="00703C"/>
                <w:sz w:val="20"/>
                <w:szCs w:val="20"/>
                <w:lang w:val="en-NZ" w:bidi="en-US"/>
              </w:rPr>
            </w:pPr>
            <w:r w:rsidRPr="00336491">
              <w:rPr>
                <w:rFonts w:ascii="Arial" w:hAnsi="Arial" w:cs="Arial"/>
                <w:b/>
                <w:color w:val="00703C"/>
                <w:sz w:val="20"/>
                <w:szCs w:val="20"/>
                <w:lang w:val="en-NZ" w:bidi="en-US"/>
              </w:rPr>
              <w:t>Customer Driven (Internal &amp; External)</w:t>
            </w:r>
          </w:p>
          <w:p w14:paraId="7943D906" w14:textId="77777777" w:rsidR="004C0D96" w:rsidRPr="00336491" w:rsidRDefault="004C0D96" w:rsidP="00505347">
            <w:pPr>
              <w:spacing w:after="120"/>
              <w:rPr>
                <w:rFonts w:ascii="Arial" w:hAnsi="Arial" w:cs="Arial"/>
                <w:sz w:val="20"/>
                <w:szCs w:val="20"/>
                <w:lang w:val="en-NZ" w:bidi="en-US"/>
              </w:rPr>
            </w:pPr>
            <w:r w:rsidRPr="00336491">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3AE9B311"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679F641D" w14:textId="77777777" w:rsidTr="00505347">
        <w:trPr>
          <w:trHeight w:val="1340"/>
        </w:trPr>
        <w:tc>
          <w:tcPr>
            <w:tcW w:w="7488" w:type="dxa"/>
            <w:vAlign w:val="center"/>
          </w:tcPr>
          <w:p w14:paraId="0E461CF5"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Accountability</w:t>
            </w:r>
          </w:p>
          <w:p w14:paraId="32D1AE02"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310D55C0" w14:textId="40424D52" w:rsidR="004C0D96" w:rsidRPr="00336491" w:rsidRDefault="00E12700" w:rsidP="00505347">
            <w:pPr>
              <w:spacing w:after="120"/>
              <w:ind w:left="357"/>
              <w:jc w:val="both"/>
              <w:rPr>
                <w:rFonts w:ascii="Arial" w:hAnsi="Arial" w:cs="Arial"/>
                <w:sz w:val="20"/>
                <w:szCs w:val="20"/>
                <w:lang w:val="en-NZ"/>
              </w:rPr>
            </w:pPr>
            <w:r>
              <w:rPr>
                <w:rFonts w:ascii="Arial" w:hAnsi="Arial" w:cs="Arial"/>
                <w:sz w:val="20"/>
                <w:szCs w:val="20"/>
                <w:lang w:val="en-NZ"/>
              </w:rPr>
              <w:t>Advanced</w:t>
            </w:r>
            <w:r w:rsidR="004C0D96" w:rsidRPr="00336491">
              <w:rPr>
                <w:rFonts w:ascii="Arial" w:hAnsi="Arial" w:cs="Arial"/>
                <w:sz w:val="20"/>
                <w:szCs w:val="20"/>
                <w:lang w:val="en-NZ"/>
              </w:rPr>
              <w:t>*</w:t>
            </w:r>
          </w:p>
        </w:tc>
      </w:tr>
      <w:tr w:rsidR="004C0D96" w:rsidRPr="00336491" w14:paraId="15E95AC2" w14:textId="77777777" w:rsidTr="00505347">
        <w:trPr>
          <w:trHeight w:val="1102"/>
        </w:trPr>
        <w:tc>
          <w:tcPr>
            <w:tcW w:w="7488" w:type="dxa"/>
            <w:vAlign w:val="center"/>
          </w:tcPr>
          <w:p w14:paraId="68D0A3AB"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Adaptability</w:t>
            </w:r>
          </w:p>
          <w:p w14:paraId="2723CFFB"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23EEA980" w14:textId="77777777" w:rsidR="004C0D96" w:rsidRPr="00336491" w:rsidRDefault="004C0D96"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0173F038" w14:textId="77777777" w:rsidTr="00505347">
        <w:trPr>
          <w:trHeight w:val="919"/>
        </w:trPr>
        <w:tc>
          <w:tcPr>
            <w:tcW w:w="7488" w:type="dxa"/>
            <w:vAlign w:val="center"/>
          </w:tcPr>
          <w:p w14:paraId="344B945A"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Motivation and Drive</w:t>
            </w:r>
          </w:p>
          <w:p w14:paraId="52870C4C"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The determination to achieve goals and strive for excellence.</w:t>
            </w:r>
          </w:p>
        </w:tc>
        <w:tc>
          <w:tcPr>
            <w:tcW w:w="2160" w:type="dxa"/>
            <w:vAlign w:val="center"/>
          </w:tcPr>
          <w:p w14:paraId="21EFA404" w14:textId="77777777" w:rsidR="004C0D96" w:rsidRPr="00336491" w:rsidRDefault="004C0D96"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1E121E7E" w14:textId="77777777" w:rsidTr="00505347">
        <w:trPr>
          <w:trHeight w:val="1050"/>
        </w:trPr>
        <w:tc>
          <w:tcPr>
            <w:tcW w:w="7488" w:type="dxa"/>
            <w:vAlign w:val="center"/>
          </w:tcPr>
          <w:p w14:paraId="57D341C0"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Relationship Building</w:t>
            </w:r>
          </w:p>
          <w:p w14:paraId="5E8E3F70"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2248514"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5197258C" w14:textId="77777777" w:rsidTr="00505347">
        <w:trPr>
          <w:trHeight w:val="1050"/>
        </w:trPr>
        <w:tc>
          <w:tcPr>
            <w:tcW w:w="7488" w:type="dxa"/>
            <w:vAlign w:val="center"/>
          </w:tcPr>
          <w:p w14:paraId="38289387"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Team Work</w:t>
            </w:r>
          </w:p>
          <w:p w14:paraId="07B06E06" w14:textId="77777777" w:rsidR="004C0D96" w:rsidRPr="00336491" w:rsidRDefault="004C0D96" w:rsidP="00505347">
            <w:pPr>
              <w:spacing w:before="120" w:after="120"/>
              <w:rPr>
                <w:rFonts w:ascii="Arial" w:hAnsi="Arial" w:cs="Arial"/>
                <w:b/>
                <w:color w:val="008000"/>
                <w:sz w:val="20"/>
                <w:szCs w:val="20"/>
                <w:lang w:val="en-NZ"/>
              </w:rPr>
            </w:pPr>
            <w:r w:rsidRPr="00336491">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167996B4"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5321E4BE" w14:textId="77777777" w:rsidTr="00505347">
        <w:trPr>
          <w:trHeight w:val="1050"/>
        </w:trPr>
        <w:tc>
          <w:tcPr>
            <w:tcW w:w="7488" w:type="dxa"/>
            <w:vAlign w:val="center"/>
          </w:tcPr>
          <w:p w14:paraId="2E884181"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lastRenderedPageBreak/>
              <w:t>Critical Analysis</w:t>
            </w:r>
          </w:p>
          <w:p w14:paraId="3C45BCF1" w14:textId="77777777" w:rsidR="004C0D96" w:rsidRPr="00336491" w:rsidRDefault="004C0D96" w:rsidP="00505347">
            <w:pPr>
              <w:spacing w:before="120" w:after="120"/>
              <w:rPr>
                <w:rFonts w:ascii="Arial" w:hAnsi="Arial" w:cs="Arial"/>
                <w:b/>
                <w:color w:val="008000"/>
                <w:sz w:val="20"/>
                <w:szCs w:val="20"/>
                <w:lang w:val="en-NZ"/>
              </w:rPr>
            </w:pPr>
            <w:r w:rsidRPr="00336491">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5A6E438A" w14:textId="2F8492EA" w:rsidR="004C0D96" w:rsidRPr="00336491" w:rsidRDefault="005B720B" w:rsidP="00505347">
            <w:pPr>
              <w:spacing w:after="120"/>
              <w:ind w:left="357"/>
              <w:rPr>
                <w:rFonts w:ascii="Arial" w:hAnsi="Arial" w:cs="Arial"/>
                <w:sz w:val="20"/>
                <w:szCs w:val="20"/>
                <w:lang w:val="en-NZ"/>
              </w:rPr>
            </w:pPr>
            <w:r>
              <w:rPr>
                <w:rFonts w:ascii="Arial" w:hAnsi="Arial" w:cs="Arial"/>
                <w:sz w:val="20"/>
                <w:szCs w:val="20"/>
                <w:lang w:val="en-NZ"/>
              </w:rPr>
              <w:t>Advanced</w:t>
            </w:r>
            <w:r w:rsidR="004C0D96" w:rsidRPr="00336491">
              <w:rPr>
                <w:rFonts w:ascii="Arial" w:hAnsi="Arial" w:cs="Arial"/>
                <w:sz w:val="20"/>
                <w:szCs w:val="20"/>
                <w:lang w:val="en-NZ"/>
              </w:rPr>
              <w:t>*</w:t>
            </w:r>
          </w:p>
        </w:tc>
      </w:tr>
    </w:tbl>
    <w:p w14:paraId="658EFFCD" w14:textId="77777777" w:rsidR="00467602" w:rsidRDefault="00467602">
      <w:pPr>
        <w:rPr>
          <w:rFonts w:ascii="Arial" w:hAnsi="Arial" w:cs="Arial"/>
        </w:rPr>
      </w:pPr>
    </w:p>
    <w:p w14:paraId="32AAE418" w14:textId="77777777" w:rsidR="004C0D96" w:rsidRPr="005B09D5" w:rsidRDefault="004C0D96">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B09D5" w14:paraId="05668A1B" w14:textId="77777777" w:rsidTr="005B09D5">
        <w:trPr>
          <w:trHeight w:val="441"/>
        </w:trPr>
        <w:tc>
          <w:tcPr>
            <w:tcW w:w="9648" w:type="dxa"/>
            <w:gridSpan w:val="2"/>
            <w:shd w:val="clear" w:color="auto" w:fill="00703C"/>
            <w:vAlign w:val="center"/>
          </w:tcPr>
          <w:p w14:paraId="39F84B1E" w14:textId="74B8EB09" w:rsidR="003A367A" w:rsidRPr="005B09D5" w:rsidRDefault="003A367A" w:rsidP="00B76DF0">
            <w:pPr>
              <w:jc w:val="center"/>
              <w:rPr>
                <w:rFonts w:ascii="Arial" w:hAnsi="Arial" w:cs="Arial"/>
                <w:b/>
                <w:bCs/>
                <w:color w:val="FFFFFF"/>
                <w:sz w:val="22"/>
                <w:szCs w:val="22"/>
              </w:rPr>
            </w:pPr>
            <w:r w:rsidRPr="005B09D5">
              <w:rPr>
                <w:rFonts w:ascii="Arial" w:hAnsi="Arial" w:cs="Arial"/>
                <w:b/>
                <w:bCs/>
                <w:color w:val="FFFFFF"/>
                <w:sz w:val="22"/>
                <w:szCs w:val="22"/>
              </w:rPr>
              <w:t>KNOWLEDGE</w:t>
            </w:r>
          </w:p>
        </w:tc>
      </w:tr>
      <w:tr w:rsidR="003A367A" w:rsidRPr="005B09D5" w14:paraId="2C3FD564" w14:textId="77777777" w:rsidTr="00AC4DCB">
        <w:trPr>
          <w:trHeight w:val="561"/>
        </w:trPr>
        <w:tc>
          <w:tcPr>
            <w:tcW w:w="2879" w:type="dxa"/>
            <w:vAlign w:val="center"/>
          </w:tcPr>
          <w:p w14:paraId="49CCD6DE"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Qualifications</w:t>
            </w:r>
          </w:p>
        </w:tc>
        <w:tc>
          <w:tcPr>
            <w:tcW w:w="6769" w:type="dxa"/>
            <w:vAlign w:val="center"/>
          </w:tcPr>
          <w:p w14:paraId="2D86338F" w14:textId="19111F6A" w:rsidR="00757B89" w:rsidRPr="00757B89" w:rsidRDefault="00503B13" w:rsidP="00757B89">
            <w:pPr>
              <w:rPr>
                <w:rFonts w:ascii="Arial" w:hAnsi="Arial" w:cs="Arial"/>
                <w:sz w:val="20"/>
                <w:szCs w:val="20"/>
                <w:lang w:val="en-NZ"/>
              </w:rPr>
            </w:pPr>
            <w:r w:rsidRPr="00503B13">
              <w:rPr>
                <w:rFonts w:ascii="Arial" w:hAnsi="Arial" w:cs="Arial"/>
                <w:sz w:val="20"/>
                <w:szCs w:val="20"/>
                <w:lang w:val="en-NZ"/>
              </w:rPr>
              <w:t>Relevant tertiary qualification in a quantitative, analytical, or related discipline, or equivalent practical experience.</w:t>
            </w:r>
          </w:p>
          <w:p w14:paraId="525BF12B" w14:textId="09E83D59" w:rsidR="004A7D21" w:rsidRPr="0032116F" w:rsidRDefault="004A7D21" w:rsidP="00AC4DCB">
            <w:pPr>
              <w:rPr>
                <w:rFonts w:ascii="Arial" w:hAnsi="Arial" w:cs="Arial"/>
                <w:sz w:val="20"/>
                <w:szCs w:val="20"/>
                <w:lang w:val="en-NZ"/>
              </w:rPr>
            </w:pPr>
          </w:p>
        </w:tc>
      </w:tr>
      <w:tr w:rsidR="00152160" w:rsidRPr="005B09D5" w14:paraId="7E91CD97" w14:textId="77777777" w:rsidTr="00AC4DCB">
        <w:trPr>
          <w:trHeight w:val="561"/>
        </w:trPr>
        <w:tc>
          <w:tcPr>
            <w:tcW w:w="2879" w:type="dxa"/>
            <w:vAlign w:val="center"/>
          </w:tcPr>
          <w:p w14:paraId="27EA1DD8" w14:textId="77777777" w:rsidR="00152160" w:rsidRPr="005B09D5" w:rsidRDefault="00910EEF" w:rsidP="00B76DF0">
            <w:pPr>
              <w:rPr>
                <w:rFonts w:ascii="Arial" w:hAnsi="Arial" w:cs="Arial"/>
                <w:b/>
                <w:color w:val="00703C"/>
                <w:sz w:val="20"/>
                <w:szCs w:val="20"/>
              </w:rPr>
            </w:pPr>
            <w:r w:rsidRPr="005B09D5">
              <w:rPr>
                <w:rFonts w:ascii="Arial" w:hAnsi="Arial" w:cs="Arial"/>
                <w:b/>
                <w:color w:val="00703C"/>
                <w:sz w:val="20"/>
                <w:szCs w:val="20"/>
              </w:rPr>
              <w:t>Business Awareness</w:t>
            </w:r>
          </w:p>
        </w:tc>
        <w:tc>
          <w:tcPr>
            <w:tcW w:w="6769" w:type="dxa"/>
            <w:vAlign w:val="center"/>
          </w:tcPr>
          <w:p w14:paraId="5B87AA01" w14:textId="3EA72ED8" w:rsidR="00152160" w:rsidRPr="005B09D5" w:rsidRDefault="00503B13" w:rsidP="00B76DF0">
            <w:pPr>
              <w:rPr>
                <w:rFonts w:ascii="Arial" w:hAnsi="Arial" w:cs="Arial"/>
                <w:sz w:val="20"/>
                <w:szCs w:val="20"/>
                <w:lang w:val="en-NZ"/>
              </w:rPr>
            </w:pPr>
            <w:r w:rsidRPr="00503B13">
              <w:rPr>
                <w:rFonts w:ascii="Arial" w:hAnsi="Arial" w:cs="Arial"/>
                <w:sz w:val="20"/>
                <w:szCs w:val="20"/>
                <w:lang w:val="en-NZ"/>
              </w:rPr>
              <w:t xml:space="preserve">Understanding of FMG’s business environment and how analytics supports </w:t>
            </w:r>
            <w:r w:rsidR="00B85557">
              <w:rPr>
                <w:rFonts w:ascii="Arial" w:hAnsi="Arial" w:cs="Arial"/>
                <w:sz w:val="20"/>
                <w:szCs w:val="20"/>
                <w:lang w:val="en-NZ"/>
              </w:rPr>
              <w:t>remediation</w:t>
            </w:r>
            <w:r w:rsidRPr="00503B13">
              <w:rPr>
                <w:rFonts w:ascii="Arial" w:hAnsi="Arial" w:cs="Arial"/>
                <w:sz w:val="20"/>
                <w:szCs w:val="20"/>
                <w:lang w:val="en-NZ"/>
              </w:rPr>
              <w:t>.</w:t>
            </w:r>
          </w:p>
        </w:tc>
      </w:tr>
      <w:tr w:rsidR="003A367A" w:rsidRPr="005B09D5" w14:paraId="24F0052E" w14:textId="77777777" w:rsidTr="00AC4DCB">
        <w:trPr>
          <w:trHeight w:val="924"/>
        </w:trPr>
        <w:tc>
          <w:tcPr>
            <w:tcW w:w="2879" w:type="dxa"/>
            <w:vAlign w:val="center"/>
          </w:tcPr>
          <w:p w14:paraId="3A8902E8"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Specialist Knowledge</w:t>
            </w:r>
          </w:p>
        </w:tc>
        <w:tc>
          <w:tcPr>
            <w:tcW w:w="6769" w:type="dxa"/>
            <w:vAlign w:val="center"/>
          </w:tcPr>
          <w:p w14:paraId="2398E937"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 xml:space="preserve">Analytics principles and best practice in a business context. </w:t>
            </w:r>
          </w:p>
          <w:p w14:paraId="7A0F4B8E"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 xml:space="preserve">Statistical and analytical modelling techniques appropriate to business problems. </w:t>
            </w:r>
          </w:p>
          <w:p w14:paraId="4DB01FF2"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Use of advanced analytics and AI</w:t>
            </w:r>
            <w:r w:rsidRPr="00E473D4">
              <w:rPr>
                <w:rFonts w:ascii="Arial" w:hAnsi="Arial" w:cs="Arial"/>
                <w:sz w:val="20"/>
                <w:szCs w:val="20"/>
                <w:lang w:val="en-NZ"/>
              </w:rPr>
              <w:noBreakHyphen/>
              <w:t xml:space="preserve">enabled techniques where appropriate, with an understanding of their limitations and risks. </w:t>
            </w:r>
          </w:p>
          <w:p w14:paraId="60170CD8"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 xml:space="preserve">Data structures, data quality considerations, and analytical data preparation. </w:t>
            </w:r>
          </w:p>
          <w:p w14:paraId="10BC3BF6" w14:textId="77777777" w:rsidR="003A367A"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Responsible and appropriate use of data, including governance and quality considerations.</w:t>
            </w:r>
          </w:p>
          <w:p w14:paraId="35414B3C" w14:textId="0FB61F7C" w:rsidR="006E7E97" w:rsidRPr="006E7E97" w:rsidRDefault="006E7E97" w:rsidP="006E7E97">
            <w:pPr>
              <w:numPr>
                <w:ilvl w:val="0"/>
                <w:numId w:val="15"/>
              </w:numPr>
              <w:rPr>
                <w:rFonts w:ascii="Arial" w:hAnsi="Arial" w:cs="Arial"/>
                <w:sz w:val="20"/>
                <w:szCs w:val="20"/>
                <w:lang w:val="en-NZ"/>
              </w:rPr>
            </w:pPr>
            <w:r w:rsidRPr="006E7E97">
              <w:rPr>
                <w:rFonts w:ascii="Arial" w:hAnsi="Arial" w:cs="Arial"/>
                <w:sz w:val="20"/>
                <w:szCs w:val="20"/>
                <w:lang w:val="en-NZ"/>
              </w:rPr>
              <w:t>Understanding of analytics best practice, including data quality management, appropriate use of data, and responsible interpretation and communication of insights</w:t>
            </w:r>
          </w:p>
        </w:tc>
      </w:tr>
    </w:tbl>
    <w:p w14:paraId="27037B05" w14:textId="77777777" w:rsidR="00AE5582" w:rsidRPr="005B09D5" w:rsidRDefault="00AE5582" w:rsidP="00AC4DCB">
      <w:pPr>
        <w:tabs>
          <w:tab w:val="num" w:pos="720"/>
        </w:tabs>
        <w:overflowPunct w:val="0"/>
        <w:autoSpaceDE w:val="0"/>
        <w:autoSpaceDN w:val="0"/>
        <w:adjustRightInd w:val="0"/>
        <w:spacing w:beforeLines="60" w:before="144" w:afterLines="80" w:after="192" w:line="240" w:lineRule="atLeast"/>
        <w:ind w:left="360"/>
        <w:jc w:val="both"/>
        <w:textAlignment w:val="baseline"/>
        <w:rPr>
          <w:rFonts w:ascii="Arial" w:hAnsi="Arial" w:cs="Arial"/>
          <w:color w:val="FF0000"/>
          <w:sz w:val="16"/>
          <w:szCs w:val="16"/>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B09D5" w14:paraId="6C710589" w14:textId="77777777" w:rsidTr="005B09D5">
        <w:trPr>
          <w:trHeight w:val="539"/>
        </w:trPr>
        <w:tc>
          <w:tcPr>
            <w:tcW w:w="9648" w:type="dxa"/>
            <w:gridSpan w:val="2"/>
            <w:shd w:val="clear" w:color="auto" w:fill="00703C"/>
            <w:vAlign w:val="center"/>
          </w:tcPr>
          <w:p w14:paraId="4B934954" w14:textId="77777777" w:rsidR="003A367A" w:rsidRPr="005B09D5" w:rsidRDefault="003A367A" w:rsidP="00B76DF0">
            <w:pPr>
              <w:jc w:val="center"/>
              <w:rPr>
                <w:rFonts w:ascii="Arial" w:hAnsi="Arial" w:cs="Arial"/>
                <w:b/>
                <w:bCs/>
                <w:color w:val="FFFFFF"/>
                <w:sz w:val="22"/>
                <w:szCs w:val="22"/>
                <w:lang w:eastAsia="en-NZ"/>
              </w:rPr>
            </w:pPr>
            <w:r w:rsidRPr="005B09D5">
              <w:rPr>
                <w:rFonts w:ascii="Arial" w:hAnsi="Arial" w:cs="Arial"/>
                <w:b/>
                <w:bCs/>
                <w:color w:val="FFFFFF"/>
                <w:sz w:val="22"/>
                <w:szCs w:val="22"/>
                <w:lang w:eastAsia="en-NZ"/>
              </w:rPr>
              <w:t>SKILLS</w:t>
            </w:r>
          </w:p>
        </w:tc>
      </w:tr>
      <w:tr w:rsidR="00540C61" w:rsidRPr="005B09D5" w14:paraId="7A7B89EA" w14:textId="77777777" w:rsidTr="00AC4DCB">
        <w:trPr>
          <w:trHeight w:val="634"/>
        </w:trPr>
        <w:tc>
          <w:tcPr>
            <w:tcW w:w="2891" w:type="dxa"/>
            <w:vAlign w:val="center"/>
          </w:tcPr>
          <w:p w14:paraId="46EE59CC" w14:textId="12600238" w:rsidR="00540C61" w:rsidRPr="005B09D5" w:rsidRDefault="00657352" w:rsidP="00B76DF0">
            <w:pPr>
              <w:rPr>
                <w:rFonts w:ascii="Arial" w:hAnsi="Arial" w:cs="Arial"/>
                <w:b/>
                <w:color w:val="00703C"/>
                <w:sz w:val="20"/>
                <w:szCs w:val="20"/>
              </w:rPr>
            </w:pPr>
            <w:r>
              <w:rPr>
                <w:rFonts w:ascii="Arial" w:hAnsi="Arial" w:cs="Arial"/>
                <w:b/>
                <w:color w:val="00703C"/>
                <w:sz w:val="20"/>
                <w:szCs w:val="20"/>
              </w:rPr>
              <w:t>Analytical Skills</w:t>
            </w:r>
          </w:p>
        </w:tc>
        <w:tc>
          <w:tcPr>
            <w:tcW w:w="6757" w:type="dxa"/>
            <w:vAlign w:val="center"/>
          </w:tcPr>
          <w:p w14:paraId="40F7B8DB" w14:textId="2D5C79BB" w:rsidR="00540C61" w:rsidRPr="005B09D5" w:rsidRDefault="00657352" w:rsidP="00B76DF0">
            <w:pPr>
              <w:rPr>
                <w:rFonts w:ascii="Arial" w:hAnsi="Arial" w:cs="Arial"/>
                <w:sz w:val="20"/>
                <w:szCs w:val="20"/>
                <w:lang w:val="en-NZ"/>
              </w:rPr>
            </w:pPr>
            <w:r w:rsidRPr="00657352">
              <w:rPr>
                <w:rFonts w:ascii="Arial" w:hAnsi="Arial" w:cs="Arial"/>
                <w:sz w:val="20"/>
                <w:szCs w:val="20"/>
                <w:lang w:val="en-NZ"/>
              </w:rPr>
              <w:t>Strong ability to analyse complex data, identify patterns and trends, and draw meaningful conclusions</w:t>
            </w:r>
            <w:r w:rsidR="00540C61" w:rsidRPr="005B09D5">
              <w:rPr>
                <w:rFonts w:ascii="Arial" w:hAnsi="Arial" w:cs="Arial"/>
                <w:sz w:val="20"/>
                <w:szCs w:val="20"/>
                <w:lang w:val="en-NZ"/>
              </w:rPr>
              <w:t>.</w:t>
            </w:r>
          </w:p>
        </w:tc>
      </w:tr>
      <w:tr w:rsidR="003A367A" w:rsidRPr="005B09D5" w14:paraId="6D429E2D" w14:textId="77777777" w:rsidTr="00AC4DCB">
        <w:trPr>
          <w:trHeight w:val="634"/>
        </w:trPr>
        <w:tc>
          <w:tcPr>
            <w:tcW w:w="2891" w:type="dxa"/>
            <w:vAlign w:val="center"/>
          </w:tcPr>
          <w:p w14:paraId="7066C679" w14:textId="4EB8A394"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Communication Skill</w:t>
            </w:r>
            <w:r w:rsidR="00657352">
              <w:rPr>
                <w:rFonts w:ascii="Arial" w:hAnsi="Arial" w:cs="Arial"/>
                <w:b/>
                <w:color w:val="00703C"/>
                <w:sz w:val="20"/>
                <w:szCs w:val="20"/>
              </w:rPr>
              <w:t>s</w:t>
            </w:r>
          </w:p>
        </w:tc>
        <w:tc>
          <w:tcPr>
            <w:tcW w:w="6757" w:type="dxa"/>
            <w:vAlign w:val="center"/>
          </w:tcPr>
          <w:p w14:paraId="720DB990" w14:textId="5E8DD08C" w:rsidR="00201168" w:rsidRDefault="00201168" w:rsidP="00201168">
            <w:pPr>
              <w:numPr>
                <w:ilvl w:val="0"/>
                <w:numId w:val="16"/>
              </w:numPr>
              <w:rPr>
                <w:rFonts w:ascii="Arial" w:hAnsi="Arial" w:cs="Arial"/>
                <w:sz w:val="20"/>
                <w:szCs w:val="20"/>
                <w:lang w:val="en-NZ"/>
              </w:rPr>
            </w:pPr>
            <w:r w:rsidRPr="00201168">
              <w:rPr>
                <w:rFonts w:ascii="Arial" w:hAnsi="Arial" w:cs="Arial"/>
                <w:sz w:val="20"/>
                <w:szCs w:val="20"/>
                <w:lang w:val="en-NZ"/>
              </w:rPr>
              <w:t xml:space="preserve">Ability to clearly communicate analytical findings and insights, both verbally and in writing. </w:t>
            </w:r>
          </w:p>
          <w:p w14:paraId="31D90286" w14:textId="4162456A" w:rsidR="003A367A" w:rsidRPr="00201168" w:rsidRDefault="00201168" w:rsidP="00201168">
            <w:pPr>
              <w:numPr>
                <w:ilvl w:val="0"/>
                <w:numId w:val="16"/>
              </w:numPr>
              <w:rPr>
                <w:rFonts w:ascii="Arial" w:hAnsi="Arial" w:cs="Arial"/>
                <w:sz w:val="20"/>
                <w:szCs w:val="20"/>
                <w:lang w:val="en-NZ"/>
              </w:rPr>
            </w:pPr>
            <w:r w:rsidRPr="00201168">
              <w:rPr>
                <w:rFonts w:ascii="Arial" w:hAnsi="Arial" w:cs="Arial"/>
                <w:sz w:val="20"/>
                <w:szCs w:val="20"/>
                <w:lang w:val="en-NZ"/>
              </w:rPr>
              <w:t>Skilled at translating complex analysis into clear, understandable messages for different audiences.</w:t>
            </w:r>
          </w:p>
        </w:tc>
      </w:tr>
      <w:tr w:rsidR="003A367A" w:rsidRPr="005B09D5" w14:paraId="669E3237" w14:textId="77777777" w:rsidTr="00AC4DCB">
        <w:trPr>
          <w:trHeight w:val="751"/>
        </w:trPr>
        <w:tc>
          <w:tcPr>
            <w:tcW w:w="2891" w:type="dxa"/>
            <w:vAlign w:val="center"/>
          </w:tcPr>
          <w:p w14:paraId="2FBB19D6" w14:textId="7FB7267A" w:rsidR="003A367A" w:rsidRPr="005B09D5" w:rsidRDefault="00201168" w:rsidP="00B76DF0">
            <w:pPr>
              <w:rPr>
                <w:rFonts w:ascii="Arial" w:hAnsi="Arial" w:cs="Arial"/>
                <w:b/>
                <w:color w:val="00703C"/>
                <w:sz w:val="20"/>
                <w:szCs w:val="20"/>
              </w:rPr>
            </w:pPr>
            <w:r>
              <w:rPr>
                <w:rFonts w:ascii="Arial" w:hAnsi="Arial" w:cs="Arial"/>
                <w:b/>
                <w:color w:val="00703C"/>
                <w:sz w:val="20"/>
                <w:szCs w:val="20"/>
              </w:rPr>
              <w:t>Technical</w:t>
            </w:r>
            <w:r w:rsidR="003A367A" w:rsidRPr="005B09D5">
              <w:rPr>
                <w:rFonts w:ascii="Arial" w:hAnsi="Arial" w:cs="Arial"/>
                <w:b/>
                <w:color w:val="00703C"/>
                <w:sz w:val="20"/>
                <w:szCs w:val="20"/>
              </w:rPr>
              <w:t xml:space="preserve"> Skills</w:t>
            </w:r>
          </w:p>
        </w:tc>
        <w:tc>
          <w:tcPr>
            <w:tcW w:w="6757" w:type="dxa"/>
            <w:vAlign w:val="center"/>
          </w:tcPr>
          <w:p w14:paraId="52DE02AE" w14:textId="77777777" w:rsidR="003E4B0B" w:rsidRDefault="003E4B0B" w:rsidP="00B76DF0">
            <w:pPr>
              <w:numPr>
                <w:ilvl w:val="0"/>
                <w:numId w:val="17"/>
              </w:numPr>
              <w:rPr>
                <w:rFonts w:ascii="Arial" w:hAnsi="Arial" w:cs="Arial"/>
                <w:sz w:val="20"/>
                <w:szCs w:val="20"/>
                <w:lang w:val="en-NZ"/>
              </w:rPr>
            </w:pPr>
            <w:r w:rsidRPr="003E4B0B">
              <w:rPr>
                <w:rFonts w:ascii="Arial" w:hAnsi="Arial" w:cs="Arial"/>
                <w:sz w:val="20"/>
                <w:szCs w:val="20"/>
                <w:lang w:val="en-NZ"/>
              </w:rPr>
              <w:t>Experience using modern analytics and data platforms, tools, and visualisation capabilities (platform</w:t>
            </w:r>
            <w:r w:rsidRPr="003E4B0B">
              <w:rPr>
                <w:rFonts w:ascii="Arial" w:hAnsi="Arial" w:cs="Arial"/>
                <w:sz w:val="20"/>
                <w:szCs w:val="20"/>
                <w:lang w:val="en-NZ"/>
              </w:rPr>
              <w:noBreakHyphen/>
              <w:t xml:space="preserve">agnostic). </w:t>
            </w:r>
          </w:p>
          <w:p w14:paraId="37DAF964" w14:textId="7BCF1823" w:rsidR="003A367A" w:rsidRPr="003E4B0B" w:rsidRDefault="003E4B0B" w:rsidP="00B76DF0">
            <w:pPr>
              <w:numPr>
                <w:ilvl w:val="0"/>
                <w:numId w:val="17"/>
              </w:numPr>
              <w:rPr>
                <w:rFonts w:ascii="Arial" w:hAnsi="Arial" w:cs="Arial"/>
                <w:sz w:val="20"/>
                <w:szCs w:val="20"/>
                <w:lang w:val="en-NZ"/>
              </w:rPr>
            </w:pPr>
            <w:r w:rsidRPr="003E4B0B">
              <w:rPr>
                <w:rFonts w:ascii="Arial" w:hAnsi="Arial" w:cs="Arial"/>
                <w:sz w:val="20"/>
                <w:szCs w:val="20"/>
                <w:lang w:val="en-NZ"/>
              </w:rPr>
              <w:t>Ability to work across multiple data sources and analytical environments.</w:t>
            </w:r>
          </w:p>
        </w:tc>
      </w:tr>
      <w:tr w:rsidR="003A367A" w:rsidRPr="005B09D5" w14:paraId="302AF7EC" w14:textId="77777777" w:rsidTr="00AC4DCB">
        <w:trPr>
          <w:trHeight w:val="751"/>
        </w:trPr>
        <w:tc>
          <w:tcPr>
            <w:tcW w:w="2891" w:type="dxa"/>
            <w:vAlign w:val="center"/>
          </w:tcPr>
          <w:p w14:paraId="5DF94D5B" w14:textId="5AD65C8F" w:rsidR="003A367A" w:rsidRPr="005B09D5" w:rsidRDefault="003E4B0B" w:rsidP="00B76DF0">
            <w:pPr>
              <w:rPr>
                <w:rFonts w:ascii="Arial" w:hAnsi="Arial" w:cs="Arial"/>
                <w:b/>
                <w:color w:val="00703C"/>
                <w:sz w:val="20"/>
                <w:szCs w:val="20"/>
              </w:rPr>
            </w:pPr>
            <w:r>
              <w:rPr>
                <w:rFonts w:ascii="Arial" w:hAnsi="Arial" w:cs="Arial"/>
                <w:b/>
                <w:color w:val="00703C"/>
                <w:sz w:val="20"/>
                <w:szCs w:val="20"/>
              </w:rPr>
              <w:t>Problem Solving</w:t>
            </w:r>
          </w:p>
        </w:tc>
        <w:tc>
          <w:tcPr>
            <w:tcW w:w="6757" w:type="dxa"/>
            <w:vAlign w:val="center"/>
          </w:tcPr>
          <w:p w14:paraId="4019930C" w14:textId="78CCF804" w:rsidR="003A367A" w:rsidRPr="009539D1" w:rsidRDefault="009539D1" w:rsidP="00B76DF0">
            <w:pPr>
              <w:rPr>
                <w:rFonts w:ascii="Arial" w:hAnsi="Arial" w:cs="Arial"/>
                <w:sz w:val="20"/>
                <w:szCs w:val="20"/>
                <w:lang w:val="en-NZ"/>
              </w:rPr>
            </w:pPr>
            <w:r w:rsidRPr="009539D1">
              <w:rPr>
                <w:rFonts w:ascii="Arial" w:hAnsi="Arial" w:cs="Arial"/>
                <w:sz w:val="20"/>
                <w:szCs w:val="20"/>
                <w:lang w:val="en-NZ"/>
              </w:rPr>
              <w:t>Applies structured, critical thinking to solve complex analytical problems.</w:t>
            </w:r>
          </w:p>
        </w:tc>
      </w:tr>
      <w:tr w:rsidR="00910EEF" w:rsidRPr="005B09D5" w14:paraId="05B45C17" w14:textId="77777777" w:rsidTr="00AC4DCB">
        <w:trPr>
          <w:trHeight w:val="751"/>
        </w:trPr>
        <w:tc>
          <w:tcPr>
            <w:tcW w:w="2891" w:type="dxa"/>
            <w:vAlign w:val="center"/>
          </w:tcPr>
          <w:p w14:paraId="7B75D3ED" w14:textId="6CB1E00D" w:rsidR="00910EEF" w:rsidRPr="005B09D5" w:rsidRDefault="009539D1" w:rsidP="00B76DF0">
            <w:pPr>
              <w:rPr>
                <w:rFonts w:ascii="Arial" w:hAnsi="Arial" w:cs="Arial"/>
                <w:b/>
                <w:color w:val="00703C"/>
                <w:sz w:val="20"/>
                <w:szCs w:val="20"/>
              </w:rPr>
            </w:pPr>
            <w:r>
              <w:rPr>
                <w:rFonts w:ascii="Arial" w:hAnsi="Arial" w:cs="Arial"/>
                <w:b/>
                <w:color w:val="00703C"/>
                <w:sz w:val="20"/>
                <w:szCs w:val="20"/>
              </w:rPr>
              <w:t>Relationship Building</w:t>
            </w:r>
          </w:p>
        </w:tc>
        <w:tc>
          <w:tcPr>
            <w:tcW w:w="6757" w:type="dxa"/>
            <w:vAlign w:val="center"/>
          </w:tcPr>
          <w:p w14:paraId="725017F7" w14:textId="02488FF9" w:rsidR="00910EEF" w:rsidRPr="005B09D5" w:rsidRDefault="009539D1" w:rsidP="00B76DF0">
            <w:pPr>
              <w:rPr>
                <w:rFonts w:ascii="Arial" w:hAnsi="Arial" w:cs="Arial"/>
                <w:sz w:val="20"/>
                <w:szCs w:val="20"/>
                <w:lang w:val="en-NZ"/>
              </w:rPr>
            </w:pPr>
            <w:r w:rsidRPr="009539D1">
              <w:rPr>
                <w:rFonts w:ascii="Arial" w:hAnsi="Arial" w:cs="Arial"/>
                <w:sz w:val="20"/>
                <w:szCs w:val="20"/>
                <w:lang w:val="en-NZ"/>
              </w:rPr>
              <w:t>Builds effective working relationships with stakeholders and colleagues based on trust and professionalism.</w:t>
            </w:r>
          </w:p>
        </w:tc>
      </w:tr>
    </w:tbl>
    <w:p w14:paraId="1048CD17" w14:textId="77777777" w:rsidR="009E4D68" w:rsidRPr="005B09D5" w:rsidRDefault="009E4D68" w:rsidP="00106A67">
      <w:pPr>
        <w:pStyle w:val="Heading3"/>
        <w:spacing w:before="120"/>
        <w:rPr>
          <w:color w:val="008000"/>
          <w:sz w:val="28"/>
          <w:szCs w:val="28"/>
        </w:rPr>
      </w:pPr>
    </w:p>
    <w:p w14:paraId="53F0B156" w14:textId="77777777" w:rsidR="00B85400" w:rsidRPr="005B09D5" w:rsidRDefault="00106A67" w:rsidP="00106A67">
      <w:pPr>
        <w:pStyle w:val="Heading3"/>
        <w:spacing w:before="120"/>
        <w:rPr>
          <w:i/>
          <w:color w:val="00703C"/>
          <w:sz w:val="28"/>
          <w:szCs w:val="28"/>
        </w:rPr>
      </w:pPr>
      <w:r w:rsidRPr="005B09D5">
        <w:rPr>
          <w:i/>
          <w:color w:val="00703C"/>
          <w:sz w:val="28"/>
          <w:szCs w:val="28"/>
        </w:rPr>
        <w:t>Relationship</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AC3E4C" w14:paraId="19FD79D0" w14:textId="77777777" w:rsidTr="00AC3E4C">
        <w:tc>
          <w:tcPr>
            <w:tcW w:w="2988" w:type="dxa"/>
            <w:tcBorders>
              <w:top w:val="single" w:sz="4" w:space="0" w:color="C0C0C0"/>
              <w:bottom w:val="nil"/>
            </w:tcBorders>
            <w:shd w:val="clear" w:color="auto" w:fill="00703C"/>
          </w:tcPr>
          <w:p w14:paraId="53D0231B" w14:textId="77777777" w:rsidR="00B85400" w:rsidRPr="00AC3E4C" w:rsidRDefault="00B85400" w:rsidP="00AC3E4C">
            <w:pPr>
              <w:keepNext/>
              <w:spacing w:before="60" w:after="60"/>
              <w:rPr>
                <w:rFonts w:ascii="Arial" w:hAnsi="Arial" w:cs="Arial"/>
                <w:bCs/>
                <w:color w:val="FFFFFF"/>
                <w:sz w:val="22"/>
                <w:szCs w:val="22"/>
              </w:rPr>
            </w:pPr>
            <w:r w:rsidRPr="00AC3E4C">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72DFAE1A"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0A271FD9"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Committees/Groups</w:t>
            </w:r>
          </w:p>
        </w:tc>
      </w:tr>
      <w:tr w:rsidR="00C46FE5" w:rsidRPr="00AC3E4C" w14:paraId="664CDB86" w14:textId="77777777" w:rsidTr="00AC3E4C">
        <w:tc>
          <w:tcPr>
            <w:tcW w:w="2988" w:type="dxa"/>
            <w:tcBorders>
              <w:top w:val="nil"/>
              <w:bottom w:val="nil"/>
            </w:tcBorders>
          </w:tcPr>
          <w:p w14:paraId="49B1EFD0" w14:textId="47BB8D7B" w:rsidR="00C46FE5" w:rsidRPr="006D4572" w:rsidRDefault="00E97A58" w:rsidP="006D4572">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Nil</w:t>
            </w:r>
          </w:p>
        </w:tc>
        <w:tc>
          <w:tcPr>
            <w:tcW w:w="3600" w:type="dxa"/>
            <w:tcBorders>
              <w:top w:val="nil"/>
              <w:bottom w:val="nil"/>
            </w:tcBorders>
          </w:tcPr>
          <w:p w14:paraId="384BBE27" w14:textId="70E99A73" w:rsidR="00280085" w:rsidRDefault="00280085"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Digital &amp; Data Team</w:t>
            </w:r>
          </w:p>
          <w:p w14:paraId="76EBFDD7" w14:textId="70A5BE40" w:rsidR="00B77C00" w:rsidRDefault="00B77C00"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B77C00">
              <w:rPr>
                <w:rFonts w:ascii="Arial" w:hAnsi="Arial" w:cs="Arial"/>
                <w:sz w:val="20"/>
                <w:szCs w:val="20"/>
                <w:lang w:val="en-NZ"/>
              </w:rPr>
              <w:lastRenderedPageBreak/>
              <w:t>Delivery Manager - Advanced Analytics</w:t>
            </w:r>
          </w:p>
          <w:p w14:paraId="5C3FE56D" w14:textId="1A51763E" w:rsidR="00E73A19" w:rsidRDefault="00E73A19"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rPr>
              <w:t>Head of Pricing and Portfolio Analytics</w:t>
            </w:r>
          </w:p>
          <w:p w14:paraId="71C10D77" w14:textId="298EEC83" w:rsidR="00405299" w:rsidRPr="006676A6" w:rsidRDefault="00405299" w:rsidP="006676A6">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Remediation project teams</w:t>
            </w:r>
            <w:r w:rsidR="006676A6">
              <w:rPr>
                <w:rFonts w:ascii="Arial" w:hAnsi="Arial" w:cs="Arial"/>
                <w:sz w:val="20"/>
                <w:szCs w:val="20"/>
                <w:lang w:val="en-NZ"/>
              </w:rPr>
              <w:t xml:space="preserve"> and </w:t>
            </w:r>
            <w:r w:rsidRPr="006676A6">
              <w:rPr>
                <w:rFonts w:ascii="Arial" w:hAnsi="Arial" w:cs="Arial"/>
                <w:sz w:val="20"/>
                <w:szCs w:val="20"/>
                <w:lang w:val="en-NZ"/>
              </w:rPr>
              <w:t>Remediation Programme Co-ordinator</w:t>
            </w:r>
          </w:p>
          <w:p w14:paraId="51DA5BD7" w14:textId="2FAF2527" w:rsidR="00405299" w:rsidRDefault="00405299"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 xml:space="preserve">Insurance Solutions Team </w:t>
            </w:r>
          </w:p>
          <w:p w14:paraId="0DA37D3C" w14:textId="1895ECAB" w:rsidR="00405299" w:rsidRDefault="00405299"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Claims</w:t>
            </w:r>
            <w:r w:rsidR="00280085">
              <w:rPr>
                <w:rFonts w:ascii="Arial" w:hAnsi="Arial" w:cs="Arial"/>
                <w:sz w:val="20"/>
                <w:szCs w:val="20"/>
                <w:lang w:val="en-NZ"/>
              </w:rPr>
              <w:t xml:space="preserve"> Team</w:t>
            </w:r>
          </w:p>
          <w:p w14:paraId="52290B13" w14:textId="648053D8" w:rsidR="00405299" w:rsidRDefault="00405299"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t>Sales, Advise &amp; Service</w:t>
            </w:r>
            <w:r w:rsidR="00280085">
              <w:rPr>
                <w:rFonts w:ascii="Arial" w:hAnsi="Arial" w:cs="Arial"/>
                <w:sz w:val="20"/>
                <w:szCs w:val="20"/>
                <w:lang w:val="en-NZ"/>
              </w:rPr>
              <w:t xml:space="preserve"> Team</w:t>
            </w:r>
          </w:p>
          <w:p w14:paraId="09F22A07" w14:textId="39DDB6E4" w:rsidR="00191E5F" w:rsidRPr="003478D1" w:rsidRDefault="00191E5F" w:rsidP="00BE5C3B">
            <w:pPr>
              <w:tabs>
                <w:tab w:val="num" w:pos="252"/>
                <w:tab w:val="num" w:pos="850"/>
              </w:tabs>
              <w:overflowPunct w:val="0"/>
              <w:autoSpaceDE w:val="0"/>
              <w:autoSpaceDN w:val="0"/>
              <w:adjustRightInd w:val="0"/>
              <w:spacing w:before="60" w:after="60" w:line="240" w:lineRule="atLeast"/>
              <w:ind w:left="252"/>
              <w:textAlignment w:val="baseline"/>
              <w:rPr>
                <w:rFonts w:ascii="Arial" w:hAnsi="Arial" w:cs="Arial"/>
                <w:sz w:val="20"/>
                <w:szCs w:val="20"/>
                <w:lang w:val="en-NZ"/>
              </w:rPr>
            </w:pPr>
          </w:p>
        </w:tc>
        <w:tc>
          <w:tcPr>
            <w:tcW w:w="2952" w:type="dxa"/>
            <w:tcBorders>
              <w:top w:val="nil"/>
              <w:bottom w:val="nil"/>
            </w:tcBorders>
          </w:tcPr>
          <w:p w14:paraId="2A42F8BB" w14:textId="28C47A5A" w:rsidR="00C46FE5" w:rsidRPr="00E25B87" w:rsidRDefault="00405299" w:rsidP="00E25B87">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Pr>
                <w:rFonts w:ascii="Arial" w:hAnsi="Arial" w:cs="Arial"/>
                <w:sz w:val="20"/>
                <w:szCs w:val="20"/>
                <w:lang w:val="en-NZ"/>
              </w:rPr>
              <w:lastRenderedPageBreak/>
              <w:t>W</w:t>
            </w:r>
            <w:r w:rsidR="00E25B87" w:rsidRPr="00E25B87">
              <w:rPr>
                <w:rFonts w:ascii="Arial" w:hAnsi="Arial" w:cs="Arial"/>
                <w:sz w:val="20"/>
                <w:szCs w:val="20"/>
                <w:lang w:val="en-NZ"/>
              </w:rPr>
              <w:t xml:space="preserve">orking groups (as </w:t>
            </w:r>
            <w:r w:rsidR="00E25B87" w:rsidRPr="00E25B87">
              <w:rPr>
                <w:rFonts w:ascii="Arial" w:hAnsi="Arial" w:cs="Arial"/>
                <w:sz w:val="20"/>
                <w:szCs w:val="20"/>
                <w:lang w:val="en-NZ"/>
              </w:rPr>
              <w:lastRenderedPageBreak/>
              <w:t>required)</w:t>
            </w:r>
          </w:p>
        </w:tc>
      </w:tr>
    </w:tbl>
    <w:p w14:paraId="2D8E895C" w14:textId="77777777" w:rsidR="00B85400" w:rsidRPr="005B09D5" w:rsidRDefault="006B3E6B" w:rsidP="00B85400">
      <w:pPr>
        <w:rPr>
          <w:rFonts w:ascii="Arial" w:hAnsi="Arial" w:cs="Arial"/>
        </w:rPr>
      </w:pPr>
      <w:r>
        <w:rPr>
          <w:rFonts w:ascii="Arial" w:hAnsi="Arial" w:cs="Arial"/>
        </w:rPr>
        <w:lastRenderedPageBreak/>
        <w:pict w14:anchorId="5C59C683">
          <v:rect id="_x0000_i1030" style="width:470.2pt;height:1pt" o:hralign="center" o:hrstd="t" o:hrnoshade="t" o:hr="t" fillcolor="silver" stroked="f"/>
        </w:pict>
      </w:r>
    </w:p>
    <w:p w14:paraId="5038548E" w14:textId="77777777" w:rsidR="00344F32" w:rsidRPr="005B09D5" w:rsidRDefault="00344F32" w:rsidP="00511329">
      <w:pPr>
        <w:pStyle w:val="Heading3"/>
        <w:spacing w:after="240"/>
        <w:jc w:val="both"/>
        <w:rPr>
          <w:i/>
          <w:color w:val="00703C"/>
          <w:sz w:val="28"/>
          <w:szCs w:val="28"/>
        </w:rPr>
      </w:pPr>
      <w:r w:rsidRPr="005B09D5">
        <w:rPr>
          <w:i/>
          <w:color w:val="00703C"/>
          <w:sz w:val="28"/>
          <w:szCs w:val="28"/>
        </w:rPr>
        <w:t>Financial Authority Levels</w:t>
      </w:r>
    </w:p>
    <w:p w14:paraId="6D4D1487" w14:textId="6EE8335D"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This role does not have independent authority to approve or commit expenditure. </w:t>
      </w:r>
    </w:p>
    <w:p w14:paraId="41197366" w14:textId="377BC0CC"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All financial commitments must be made in accordance with FMG’s Delegation of Financial Authority (DFA) and within approved budgets. </w:t>
      </w:r>
    </w:p>
    <w:p w14:paraId="72F72059" w14:textId="77777777" w:rsidR="00732D4A" w:rsidRPr="005B09D5" w:rsidRDefault="00732D4A" w:rsidP="00511329">
      <w:pPr>
        <w:pStyle w:val="Heading3"/>
        <w:spacing w:after="240"/>
        <w:jc w:val="both"/>
        <w:rPr>
          <w:i/>
          <w:color w:val="00703C"/>
          <w:sz w:val="28"/>
          <w:szCs w:val="28"/>
        </w:rPr>
      </w:pPr>
      <w:r w:rsidRPr="005B09D5">
        <w:rPr>
          <w:i/>
          <w:color w:val="00703C"/>
          <w:sz w:val="28"/>
          <w:szCs w:val="28"/>
        </w:rPr>
        <w:t>Human Resources Authority Levels</w:t>
      </w:r>
    </w:p>
    <w:p w14:paraId="1625A100" w14:textId="03F179D1" w:rsidR="009E4D68" w:rsidRPr="00DA4E57" w:rsidRDefault="005B7B63" w:rsidP="003C284B">
      <w:pPr>
        <w:numPr>
          <w:ilvl w:val="0"/>
          <w:numId w:val="2"/>
        </w:numPr>
        <w:spacing w:before="120" w:after="120"/>
        <w:ind w:left="714" w:hanging="357"/>
        <w:jc w:val="both"/>
        <w:rPr>
          <w:rFonts w:ascii="Arial" w:hAnsi="Arial" w:cs="Arial"/>
          <w:sz w:val="20"/>
          <w:szCs w:val="20"/>
        </w:rPr>
      </w:pPr>
      <w:r>
        <w:rPr>
          <w:rFonts w:ascii="Arial" w:hAnsi="Arial" w:cs="Arial"/>
          <w:sz w:val="20"/>
          <w:szCs w:val="20"/>
        </w:rPr>
        <w:t>Nil</w:t>
      </w:r>
    </w:p>
    <w:p w14:paraId="3C9E33C6" w14:textId="77777777" w:rsidR="00B85400" w:rsidRPr="005B09D5" w:rsidRDefault="006B3E6B" w:rsidP="00B85400">
      <w:pPr>
        <w:tabs>
          <w:tab w:val="left" w:pos="1800"/>
        </w:tabs>
        <w:spacing w:before="120" w:after="120"/>
        <w:rPr>
          <w:rFonts w:ascii="Arial" w:hAnsi="Arial" w:cs="Arial"/>
        </w:rPr>
      </w:pPr>
      <w:r>
        <w:rPr>
          <w:rFonts w:ascii="Arial" w:hAnsi="Arial" w:cs="Arial"/>
        </w:rPr>
        <w:pict w14:anchorId="57E72B1F">
          <v:rect id="_x0000_i1031" style="width:470.2pt;height:1pt" o:hralign="center" o:hrstd="t" o:hrnoshade="t" o:hr="t" fillcolor="silver" stroked="f"/>
        </w:pict>
      </w:r>
    </w:p>
    <w:p w14:paraId="1C35044E" w14:textId="77777777" w:rsidR="0089439A" w:rsidRPr="005B09D5" w:rsidRDefault="00106A67" w:rsidP="00106A67">
      <w:pPr>
        <w:pStyle w:val="Heading3"/>
        <w:spacing w:before="120"/>
        <w:jc w:val="both"/>
        <w:rPr>
          <w:i/>
          <w:color w:val="00703C"/>
          <w:sz w:val="28"/>
          <w:szCs w:val="28"/>
        </w:rPr>
      </w:pPr>
      <w:r w:rsidRPr="005B09D5">
        <w:rPr>
          <w:i/>
          <w:color w:val="00703C"/>
          <w:sz w:val="28"/>
          <w:szCs w:val="28"/>
        </w:rPr>
        <w:t>Agreement</w:t>
      </w:r>
    </w:p>
    <w:p w14:paraId="38F2E1DA" w14:textId="77777777" w:rsidR="0089439A" w:rsidRPr="005B09D5" w:rsidRDefault="0089439A" w:rsidP="0089439A">
      <w:pPr>
        <w:jc w:val="both"/>
        <w:rPr>
          <w:rFonts w:ascii="Arial" w:hAnsi="Arial" w:cs="Arial"/>
          <w:sz w:val="20"/>
          <w:szCs w:val="20"/>
        </w:rPr>
      </w:pPr>
      <w:r w:rsidRPr="005B09D5">
        <w:rPr>
          <w:rFonts w:ascii="Arial" w:hAnsi="Arial" w:cs="Arial"/>
          <w:sz w:val="20"/>
          <w:szCs w:val="20"/>
        </w:rPr>
        <w:t xml:space="preserve">I agree to the outline of the role as contained in this document and </w:t>
      </w:r>
      <w:r w:rsidR="00677F02" w:rsidRPr="005B09D5">
        <w:rPr>
          <w:rFonts w:ascii="Arial" w:hAnsi="Arial" w:cs="Arial"/>
          <w:sz w:val="20"/>
          <w:szCs w:val="20"/>
        </w:rPr>
        <w:t xml:space="preserve">recognise that the contents </w:t>
      </w:r>
      <w:r w:rsidRPr="005B09D5">
        <w:rPr>
          <w:rFonts w:ascii="Arial" w:hAnsi="Arial" w:cs="Arial"/>
          <w:sz w:val="20"/>
          <w:szCs w:val="20"/>
        </w:rPr>
        <w:t>may need to be amended from time to time to reflect changing business requirements.</w:t>
      </w:r>
    </w:p>
    <w:p w14:paraId="58CF46E7" w14:textId="77777777" w:rsidR="0089439A" w:rsidRPr="005B09D5" w:rsidRDefault="0089439A" w:rsidP="0089439A">
      <w:pPr>
        <w:jc w:val="both"/>
        <w:rPr>
          <w:rFonts w:ascii="Arial" w:hAnsi="Arial" w:cs="Arial"/>
          <w:sz w:val="20"/>
          <w:szCs w:val="20"/>
        </w:rPr>
      </w:pPr>
    </w:p>
    <w:p w14:paraId="22DFFC8A" w14:textId="77777777" w:rsidR="000852A5" w:rsidRPr="005B09D5" w:rsidRDefault="0089439A" w:rsidP="0089439A">
      <w:pPr>
        <w:jc w:val="both"/>
        <w:rPr>
          <w:rFonts w:ascii="Arial" w:hAnsi="Arial" w:cs="Arial"/>
          <w:sz w:val="20"/>
          <w:szCs w:val="20"/>
        </w:rPr>
      </w:pPr>
      <w:r w:rsidRPr="005B09D5">
        <w:rPr>
          <w:rFonts w:ascii="Arial" w:hAnsi="Arial" w:cs="Arial"/>
          <w:sz w:val="20"/>
          <w:szCs w:val="20"/>
        </w:rPr>
        <w:t>I as Job holder, allow my Manager to gather information from third parties where necessary for the purposes of performance management.</w:t>
      </w:r>
    </w:p>
    <w:p w14:paraId="05E7EDD6" w14:textId="77777777" w:rsidR="0089439A" w:rsidRPr="005B09D5" w:rsidRDefault="0089439A" w:rsidP="0089439A">
      <w:pPr>
        <w:jc w:val="both"/>
        <w:rPr>
          <w:rFonts w:ascii="Arial" w:hAnsi="Arial" w:cs="Arial"/>
        </w:rPr>
      </w:pPr>
    </w:p>
    <w:tbl>
      <w:tblPr>
        <w:tblW w:w="0" w:type="auto"/>
        <w:tblLook w:val="01E0" w:firstRow="1" w:lastRow="1" w:firstColumn="1" w:lastColumn="1" w:noHBand="0" w:noVBand="0"/>
      </w:tblPr>
      <w:tblGrid>
        <w:gridCol w:w="4706"/>
        <w:gridCol w:w="4698"/>
      </w:tblGrid>
      <w:tr w:rsidR="00B85400" w:rsidRPr="00AC3E4C" w14:paraId="56CFB041" w14:textId="77777777" w:rsidTr="00AC3E4C">
        <w:trPr>
          <w:trHeight w:val="693"/>
        </w:trPr>
        <w:tc>
          <w:tcPr>
            <w:tcW w:w="4734" w:type="dxa"/>
          </w:tcPr>
          <w:p w14:paraId="2D9BEAF5" w14:textId="4A13A40E" w:rsidR="00B85400" w:rsidRPr="00AC3E4C" w:rsidRDefault="005B7B63" w:rsidP="00AC3E4C">
            <w:pPr>
              <w:tabs>
                <w:tab w:val="left" w:pos="1800"/>
              </w:tabs>
              <w:spacing w:before="120" w:after="120"/>
              <w:jc w:val="right"/>
              <w:rPr>
                <w:rFonts w:ascii="Arial" w:hAnsi="Arial" w:cs="Arial"/>
                <w:sz w:val="20"/>
                <w:szCs w:val="20"/>
              </w:rPr>
            </w:pPr>
            <w:r>
              <w:rPr>
                <w:rFonts w:ascii="Arial" w:hAnsi="Arial" w:cs="Arial"/>
                <w:sz w:val="20"/>
                <w:szCs w:val="20"/>
              </w:rPr>
              <w:t>Senior Data Analyst</w:t>
            </w:r>
            <w:r w:rsidR="00586E08">
              <w:rPr>
                <w:rFonts w:ascii="Arial" w:hAnsi="Arial" w:cs="Arial"/>
                <w:sz w:val="20"/>
                <w:szCs w:val="20"/>
              </w:rPr>
              <w:t xml:space="preserve"> – Conduct’</w:t>
            </w:r>
            <w:r>
              <w:rPr>
                <w:rFonts w:ascii="Arial" w:hAnsi="Arial" w:cs="Arial"/>
                <w:sz w:val="20"/>
                <w:szCs w:val="20"/>
              </w:rPr>
              <w:t>s</w:t>
            </w:r>
            <w:r w:rsidR="009A2738"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bottom w:val="single" w:sz="4" w:space="0" w:color="auto"/>
            </w:tcBorders>
          </w:tcPr>
          <w:p w14:paraId="5191860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63D23D04" w14:textId="77777777" w:rsidTr="00AC3E4C">
        <w:trPr>
          <w:trHeight w:val="411"/>
        </w:trPr>
        <w:tc>
          <w:tcPr>
            <w:tcW w:w="4734" w:type="dxa"/>
          </w:tcPr>
          <w:p w14:paraId="78A9952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Signature:</w:t>
            </w:r>
          </w:p>
        </w:tc>
        <w:tc>
          <w:tcPr>
            <w:tcW w:w="4734" w:type="dxa"/>
            <w:tcBorders>
              <w:top w:val="single" w:sz="4" w:space="0" w:color="auto"/>
              <w:bottom w:val="single" w:sz="4" w:space="0" w:color="auto"/>
            </w:tcBorders>
          </w:tcPr>
          <w:p w14:paraId="1CCC4726"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5B05AF7A" w14:textId="77777777" w:rsidTr="00AC3E4C">
        <w:tc>
          <w:tcPr>
            <w:tcW w:w="4734" w:type="dxa"/>
          </w:tcPr>
          <w:p w14:paraId="137BB5D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bottom w:val="single" w:sz="4" w:space="0" w:color="auto"/>
            </w:tcBorders>
          </w:tcPr>
          <w:p w14:paraId="0BFBEED2" w14:textId="77777777" w:rsidR="00B85400" w:rsidRPr="00AC3E4C" w:rsidRDefault="00B85400" w:rsidP="00AC3E4C">
            <w:pPr>
              <w:tabs>
                <w:tab w:val="left" w:pos="1800"/>
              </w:tabs>
              <w:spacing w:before="120" w:after="120"/>
              <w:rPr>
                <w:rFonts w:ascii="Arial" w:hAnsi="Arial" w:cs="Arial"/>
                <w:b/>
                <w:sz w:val="20"/>
                <w:szCs w:val="20"/>
              </w:rPr>
            </w:pPr>
          </w:p>
        </w:tc>
      </w:tr>
    </w:tbl>
    <w:p w14:paraId="0429B636" w14:textId="77777777" w:rsidR="00B85400" w:rsidRPr="005B09D5" w:rsidRDefault="00B85400" w:rsidP="00B854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698"/>
      </w:tblGrid>
      <w:tr w:rsidR="00B85400" w:rsidRPr="00AC3E4C" w14:paraId="6B7D303D" w14:textId="77777777" w:rsidTr="00AC3E4C">
        <w:tc>
          <w:tcPr>
            <w:tcW w:w="4734" w:type="dxa"/>
            <w:tcBorders>
              <w:top w:val="nil"/>
              <w:left w:val="nil"/>
              <w:bottom w:val="nil"/>
              <w:right w:val="nil"/>
            </w:tcBorders>
          </w:tcPr>
          <w:p w14:paraId="4F3FF5C1" w14:textId="474E663D" w:rsidR="00B85400" w:rsidRPr="00AC3E4C" w:rsidRDefault="00E97A58" w:rsidP="00AC3E4C">
            <w:pPr>
              <w:tabs>
                <w:tab w:val="left" w:pos="1800"/>
              </w:tabs>
              <w:spacing w:before="120" w:after="120"/>
              <w:jc w:val="right"/>
              <w:rPr>
                <w:rFonts w:ascii="Arial" w:hAnsi="Arial" w:cs="Arial"/>
                <w:sz w:val="20"/>
                <w:szCs w:val="20"/>
              </w:rPr>
            </w:pPr>
            <w:r>
              <w:rPr>
                <w:rFonts w:ascii="Arial" w:hAnsi="Arial" w:cs="Arial"/>
                <w:sz w:val="20"/>
                <w:szCs w:val="20"/>
              </w:rPr>
              <w:t>Head of Insurance Conduct’s</w:t>
            </w:r>
            <w:r w:rsidR="005B7B63"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top w:val="nil"/>
              <w:left w:val="nil"/>
              <w:bottom w:val="single" w:sz="4" w:space="0" w:color="auto"/>
              <w:right w:val="nil"/>
            </w:tcBorders>
          </w:tcPr>
          <w:p w14:paraId="63C3D98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7C896B47" w14:textId="77777777" w:rsidTr="00AC3E4C">
        <w:tc>
          <w:tcPr>
            <w:tcW w:w="4734" w:type="dxa"/>
            <w:tcBorders>
              <w:top w:val="nil"/>
              <w:left w:val="nil"/>
              <w:bottom w:val="nil"/>
              <w:right w:val="nil"/>
            </w:tcBorders>
          </w:tcPr>
          <w:p w14:paraId="3CB07B56" w14:textId="77777777" w:rsidR="00B85400" w:rsidRPr="00AC3E4C" w:rsidRDefault="00106A67" w:rsidP="00AC3E4C">
            <w:pPr>
              <w:tabs>
                <w:tab w:val="left" w:pos="1800"/>
              </w:tabs>
              <w:spacing w:before="120" w:after="120"/>
              <w:jc w:val="right"/>
              <w:rPr>
                <w:rFonts w:ascii="Arial" w:hAnsi="Arial" w:cs="Arial"/>
                <w:sz w:val="20"/>
                <w:szCs w:val="20"/>
              </w:rPr>
            </w:pPr>
            <w:r w:rsidRPr="00AC3E4C">
              <w:rPr>
                <w:rFonts w:ascii="Arial" w:hAnsi="Arial" w:cs="Arial"/>
                <w:sz w:val="20"/>
                <w:szCs w:val="20"/>
              </w:rPr>
              <w:t xml:space="preserve">                                                                </w:t>
            </w:r>
            <w:r w:rsidR="00B85400" w:rsidRPr="00AC3E4C">
              <w:rPr>
                <w:rFonts w:ascii="Arial" w:hAnsi="Arial" w:cs="Arial"/>
                <w:sz w:val="20"/>
                <w:szCs w:val="20"/>
              </w:rPr>
              <w:t>Signature:</w:t>
            </w:r>
          </w:p>
        </w:tc>
        <w:tc>
          <w:tcPr>
            <w:tcW w:w="4734" w:type="dxa"/>
            <w:tcBorders>
              <w:top w:val="single" w:sz="4" w:space="0" w:color="auto"/>
              <w:left w:val="nil"/>
              <w:bottom w:val="single" w:sz="4" w:space="0" w:color="auto"/>
              <w:right w:val="nil"/>
            </w:tcBorders>
          </w:tcPr>
          <w:p w14:paraId="597870BA"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3F380797" w14:textId="77777777" w:rsidTr="00AC3E4C">
        <w:trPr>
          <w:trHeight w:val="297"/>
        </w:trPr>
        <w:tc>
          <w:tcPr>
            <w:tcW w:w="4734" w:type="dxa"/>
            <w:tcBorders>
              <w:top w:val="nil"/>
              <w:left w:val="nil"/>
              <w:bottom w:val="nil"/>
              <w:right w:val="nil"/>
            </w:tcBorders>
          </w:tcPr>
          <w:p w14:paraId="3EE58F95"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left w:val="nil"/>
              <w:bottom w:val="single" w:sz="4" w:space="0" w:color="auto"/>
              <w:right w:val="nil"/>
            </w:tcBorders>
          </w:tcPr>
          <w:p w14:paraId="07C22CA9" w14:textId="77777777" w:rsidR="00B85400" w:rsidRPr="00AC3E4C" w:rsidRDefault="00B85400" w:rsidP="00AC3E4C">
            <w:pPr>
              <w:tabs>
                <w:tab w:val="left" w:pos="1800"/>
              </w:tabs>
              <w:spacing w:before="120" w:after="120"/>
              <w:rPr>
                <w:rFonts w:ascii="Arial" w:hAnsi="Arial" w:cs="Arial"/>
                <w:b/>
                <w:sz w:val="20"/>
                <w:szCs w:val="20"/>
              </w:rPr>
            </w:pPr>
          </w:p>
        </w:tc>
      </w:tr>
    </w:tbl>
    <w:p w14:paraId="63880E89" w14:textId="77777777" w:rsidR="00D12F86" w:rsidRPr="005B09D5" w:rsidRDefault="00D12F86" w:rsidP="003F65B9">
      <w:pPr>
        <w:tabs>
          <w:tab w:val="left" w:pos="1800"/>
        </w:tabs>
        <w:spacing w:before="120" w:after="120"/>
        <w:rPr>
          <w:rFonts w:ascii="Arial" w:hAnsi="Arial" w:cs="Arial"/>
        </w:rPr>
      </w:pPr>
    </w:p>
    <w:sectPr w:rsidR="00D12F86" w:rsidRPr="005B09D5" w:rsidSect="004321EB">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D216" w14:textId="77777777" w:rsidR="006B3E6B" w:rsidRDefault="006B3E6B">
      <w:r>
        <w:separator/>
      </w:r>
    </w:p>
  </w:endnote>
  <w:endnote w:type="continuationSeparator" w:id="0">
    <w:p w14:paraId="56922C0A" w14:textId="77777777" w:rsidR="006B3E6B" w:rsidRDefault="006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43EC" w14:textId="77777777" w:rsidR="00DC04AD" w:rsidRDefault="00DC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AC3E4C" w14:paraId="6610B453" w14:textId="77777777" w:rsidTr="00AC3E4C">
      <w:tc>
        <w:tcPr>
          <w:tcW w:w="7380" w:type="dxa"/>
          <w:tcBorders>
            <w:top w:val="nil"/>
            <w:left w:val="nil"/>
            <w:bottom w:val="nil"/>
            <w:right w:val="nil"/>
          </w:tcBorders>
        </w:tcPr>
        <w:p w14:paraId="29E9A855"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sz w:val="20"/>
              <w:szCs w:val="20"/>
            </w:rPr>
          </w:pPr>
        </w:p>
        <w:p w14:paraId="03EB7D27"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cs="Arial"/>
              <w:sz w:val="20"/>
              <w:szCs w:val="20"/>
            </w:rPr>
          </w:pPr>
          <w:r w:rsidRPr="00AC3E4C">
            <w:rPr>
              <w:rStyle w:val="PageNumber"/>
              <w:rFonts w:ascii="Verdana" w:hAnsi="Verdana"/>
              <w:sz w:val="20"/>
              <w:szCs w:val="20"/>
            </w:rPr>
            <w:fldChar w:fldCharType="begin"/>
          </w:r>
          <w:r w:rsidRPr="00AC3E4C">
            <w:rPr>
              <w:rStyle w:val="PageNumber"/>
              <w:rFonts w:ascii="Verdana" w:hAnsi="Verdana"/>
              <w:sz w:val="20"/>
              <w:szCs w:val="20"/>
            </w:rPr>
            <w:instrText xml:space="preserve"> PAGE </w:instrText>
          </w:r>
          <w:r w:rsidRPr="00AC3E4C">
            <w:rPr>
              <w:rStyle w:val="PageNumber"/>
              <w:rFonts w:ascii="Verdana" w:hAnsi="Verdana"/>
              <w:sz w:val="20"/>
              <w:szCs w:val="20"/>
            </w:rPr>
            <w:fldChar w:fldCharType="separate"/>
          </w:r>
          <w:r w:rsidR="00C54708">
            <w:rPr>
              <w:rStyle w:val="PageNumber"/>
              <w:rFonts w:ascii="Verdana" w:hAnsi="Verdana"/>
              <w:noProof/>
              <w:sz w:val="20"/>
              <w:szCs w:val="20"/>
            </w:rPr>
            <w:t>7</w:t>
          </w:r>
          <w:r w:rsidRPr="00AC3E4C">
            <w:rPr>
              <w:rStyle w:val="PageNumber"/>
              <w:rFonts w:ascii="Verdana" w:hAnsi="Verdana"/>
              <w:sz w:val="20"/>
              <w:szCs w:val="20"/>
            </w:rPr>
            <w:fldChar w:fldCharType="end"/>
          </w:r>
        </w:p>
      </w:tc>
      <w:tc>
        <w:tcPr>
          <w:tcW w:w="2880" w:type="dxa"/>
          <w:tcBorders>
            <w:top w:val="nil"/>
            <w:left w:val="nil"/>
            <w:bottom w:val="nil"/>
            <w:right w:val="nil"/>
          </w:tcBorders>
        </w:tcPr>
        <w:p w14:paraId="7C2D0473" w14:textId="77777777" w:rsidR="004D2CC6" w:rsidRPr="00AC3E4C" w:rsidRDefault="004D2CC6" w:rsidP="00AC3E4C">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E2BA6E"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C840" w14:textId="77777777" w:rsidR="00DC04AD" w:rsidRDefault="00D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BE51" w14:textId="77777777" w:rsidR="006B3E6B" w:rsidRDefault="006B3E6B">
      <w:r>
        <w:separator/>
      </w:r>
    </w:p>
  </w:footnote>
  <w:footnote w:type="continuationSeparator" w:id="0">
    <w:p w14:paraId="7EC3557E" w14:textId="77777777" w:rsidR="006B3E6B" w:rsidRDefault="006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E99" w14:textId="77777777" w:rsidR="00DC04AD" w:rsidRDefault="00DC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DFB" w14:textId="0E7FE3FD" w:rsidR="007F62BC" w:rsidRDefault="007F62B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D5C" w14:textId="77777777" w:rsidR="00DC04AD" w:rsidRDefault="00DC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CEB0EFB"/>
    <w:multiLevelType w:val="hybridMultilevel"/>
    <w:tmpl w:val="CCF691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508C9"/>
    <w:multiLevelType w:val="hybridMultilevel"/>
    <w:tmpl w:val="7018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5B10F0"/>
    <w:multiLevelType w:val="hybridMultilevel"/>
    <w:tmpl w:val="06E6E5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F8512A"/>
    <w:multiLevelType w:val="hybridMultilevel"/>
    <w:tmpl w:val="1B7E04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7E6D92"/>
    <w:multiLevelType w:val="hybridMultilevel"/>
    <w:tmpl w:val="8FA67C40"/>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8" w15:restartNumberingAfterBreak="0">
    <w:nsid w:val="36632057"/>
    <w:multiLevelType w:val="hybridMultilevel"/>
    <w:tmpl w:val="D5E2DC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563D3BFE"/>
    <w:multiLevelType w:val="hybridMultilevel"/>
    <w:tmpl w:val="99EC62F8"/>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D69C4"/>
    <w:multiLevelType w:val="hybridMultilevel"/>
    <w:tmpl w:val="99BEA8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8A5580"/>
    <w:multiLevelType w:val="hybridMultilevel"/>
    <w:tmpl w:val="C4905998"/>
    <w:lvl w:ilvl="0" w:tplc="14090001">
      <w:start w:val="1"/>
      <w:numFmt w:val="bullet"/>
      <w:lvlText w:val=""/>
      <w:lvlJc w:val="left"/>
      <w:pPr>
        <w:ind w:left="361" w:hanging="360"/>
      </w:pPr>
      <w:rPr>
        <w:rFonts w:ascii="Symbol" w:hAnsi="Symbol" w:hint="default"/>
      </w:rPr>
    </w:lvl>
    <w:lvl w:ilvl="1" w:tplc="14090003" w:tentative="1">
      <w:start w:val="1"/>
      <w:numFmt w:val="bullet"/>
      <w:lvlText w:val="o"/>
      <w:lvlJc w:val="left"/>
      <w:pPr>
        <w:ind w:left="1081" w:hanging="360"/>
      </w:pPr>
      <w:rPr>
        <w:rFonts w:ascii="Courier New" w:hAnsi="Courier New" w:cs="Courier New" w:hint="default"/>
      </w:rPr>
    </w:lvl>
    <w:lvl w:ilvl="2" w:tplc="14090005" w:tentative="1">
      <w:start w:val="1"/>
      <w:numFmt w:val="bullet"/>
      <w:lvlText w:val=""/>
      <w:lvlJc w:val="left"/>
      <w:pPr>
        <w:ind w:left="1801" w:hanging="360"/>
      </w:pPr>
      <w:rPr>
        <w:rFonts w:ascii="Wingdings" w:hAnsi="Wingdings" w:hint="default"/>
      </w:rPr>
    </w:lvl>
    <w:lvl w:ilvl="3" w:tplc="14090001" w:tentative="1">
      <w:start w:val="1"/>
      <w:numFmt w:val="bullet"/>
      <w:lvlText w:val=""/>
      <w:lvlJc w:val="left"/>
      <w:pPr>
        <w:ind w:left="2521" w:hanging="360"/>
      </w:pPr>
      <w:rPr>
        <w:rFonts w:ascii="Symbol" w:hAnsi="Symbol" w:hint="default"/>
      </w:rPr>
    </w:lvl>
    <w:lvl w:ilvl="4" w:tplc="14090003" w:tentative="1">
      <w:start w:val="1"/>
      <w:numFmt w:val="bullet"/>
      <w:lvlText w:val="o"/>
      <w:lvlJc w:val="left"/>
      <w:pPr>
        <w:ind w:left="3241" w:hanging="360"/>
      </w:pPr>
      <w:rPr>
        <w:rFonts w:ascii="Courier New" w:hAnsi="Courier New" w:cs="Courier New" w:hint="default"/>
      </w:rPr>
    </w:lvl>
    <w:lvl w:ilvl="5" w:tplc="14090005" w:tentative="1">
      <w:start w:val="1"/>
      <w:numFmt w:val="bullet"/>
      <w:lvlText w:val=""/>
      <w:lvlJc w:val="left"/>
      <w:pPr>
        <w:ind w:left="3961" w:hanging="360"/>
      </w:pPr>
      <w:rPr>
        <w:rFonts w:ascii="Wingdings" w:hAnsi="Wingdings" w:hint="default"/>
      </w:rPr>
    </w:lvl>
    <w:lvl w:ilvl="6" w:tplc="14090001" w:tentative="1">
      <w:start w:val="1"/>
      <w:numFmt w:val="bullet"/>
      <w:lvlText w:val=""/>
      <w:lvlJc w:val="left"/>
      <w:pPr>
        <w:ind w:left="4681" w:hanging="360"/>
      </w:pPr>
      <w:rPr>
        <w:rFonts w:ascii="Symbol" w:hAnsi="Symbol" w:hint="default"/>
      </w:rPr>
    </w:lvl>
    <w:lvl w:ilvl="7" w:tplc="14090003" w:tentative="1">
      <w:start w:val="1"/>
      <w:numFmt w:val="bullet"/>
      <w:lvlText w:val="o"/>
      <w:lvlJc w:val="left"/>
      <w:pPr>
        <w:ind w:left="5401" w:hanging="360"/>
      </w:pPr>
      <w:rPr>
        <w:rFonts w:ascii="Courier New" w:hAnsi="Courier New" w:cs="Courier New" w:hint="default"/>
      </w:rPr>
    </w:lvl>
    <w:lvl w:ilvl="8" w:tplc="14090005" w:tentative="1">
      <w:start w:val="1"/>
      <w:numFmt w:val="bullet"/>
      <w:lvlText w:val=""/>
      <w:lvlJc w:val="left"/>
      <w:pPr>
        <w:ind w:left="6121" w:hanging="360"/>
      </w:pPr>
      <w:rPr>
        <w:rFonts w:ascii="Wingdings" w:hAnsi="Wingdings" w:hint="default"/>
      </w:rPr>
    </w:lvl>
  </w:abstractNum>
  <w:abstractNum w:abstractNumId="15" w15:restartNumberingAfterBreak="0">
    <w:nsid w:val="6AB038A5"/>
    <w:multiLevelType w:val="hybridMultilevel"/>
    <w:tmpl w:val="F00A35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B1E3D8B"/>
    <w:multiLevelType w:val="hybridMultilevel"/>
    <w:tmpl w:val="6E3A2A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287D7C"/>
    <w:multiLevelType w:val="hybridMultilevel"/>
    <w:tmpl w:val="C2385766"/>
    <w:lvl w:ilvl="0" w:tplc="717051C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5294244">
    <w:abstractNumId w:val="4"/>
  </w:num>
  <w:num w:numId="2" w16cid:durableId="1316497369">
    <w:abstractNumId w:val="9"/>
  </w:num>
  <w:num w:numId="3" w16cid:durableId="1457218735">
    <w:abstractNumId w:val="11"/>
  </w:num>
  <w:num w:numId="4" w16cid:durableId="1694720411">
    <w:abstractNumId w:val="0"/>
  </w:num>
  <w:num w:numId="5" w16cid:durableId="1209338323">
    <w:abstractNumId w:val="5"/>
  </w:num>
  <w:num w:numId="6" w16cid:durableId="466052838">
    <w:abstractNumId w:val="10"/>
  </w:num>
  <w:num w:numId="7" w16cid:durableId="1264611220">
    <w:abstractNumId w:val="17"/>
  </w:num>
  <w:num w:numId="8" w16cid:durableId="1213926546">
    <w:abstractNumId w:val="1"/>
  </w:num>
  <w:num w:numId="9" w16cid:durableId="1853762210">
    <w:abstractNumId w:val="16"/>
  </w:num>
  <w:num w:numId="10" w16cid:durableId="1338385396">
    <w:abstractNumId w:val="6"/>
  </w:num>
  <w:num w:numId="11" w16cid:durableId="1862352678">
    <w:abstractNumId w:val="13"/>
  </w:num>
  <w:num w:numId="12" w16cid:durableId="1673489292">
    <w:abstractNumId w:val="18"/>
  </w:num>
  <w:num w:numId="13" w16cid:durableId="699891203">
    <w:abstractNumId w:val="12"/>
  </w:num>
  <w:num w:numId="14" w16cid:durableId="232587964">
    <w:abstractNumId w:val="2"/>
  </w:num>
  <w:num w:numId="15" w16cid:durableId="1425569545">
    <w:abstractNumId w:val="14"/>
  </w:num>
  <w:num w:numId="16" w16cid:durableId="770248709">
    <w:abstractNumId w:val="8"/>
  </w:num>
  <w:num w:numId="17" w16cid:durableId="455637828">
    <w:abstractNumId w:val="3"/>
  </w:num>
  <w:num w:numId="18" w16cid:durableId="2104180796">
    <w:abstractNumId w:val="15"/>
  </w:num>
  <w:num w:numId="19" w16cid:durableId="98234927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DB"/>
    <w:rsid w:val="000132C9"/>
    <w:rsid w:val="0004014F"/>
    <w:rsid w:val="0004704B"/>
    <w:rsid w:val="00050990"/>
    <w:rsid w:val="00055367"/>
    <w:rsid w:val="00071784"/>
    <w:rsid w:val="000721BE"/>
    <w:rsid w:val="00073CEC"/>
    <w:rsid w:val="000776C7"/>
    <w:rsid w:val="00081F3C"/>
    <w:rsid w:val="00082213"/>
    <w:rsid w:val="000852A5"/>
    <w:rsid w:val="000860BB"/>
    <w:rsid w:val="00090BF7"/>
    <w:rsid w:val="000A17B1"/>
    <w:rsid w:val="000C5CBF"/>
    <w:rsid w:val="000C7ED7"/>
    <w:rsid w:val="000E363D"/>
    <w:rsid w:val="000E4E10"/>
    <w:rsid w:val="00106A67"/>
    <w:rsid w:val="0011012D"/>
    <w:rsid w:val="001109E4"/>
    <w:rsid w:val="00115041"/>
    <w:rsid w:val="00115410"/>
    <w:rsid w:val="0012043D"/>
    <w:rsid w:val="00122B30"/>
    <w:rsid w:val="0012450E"/>
    <w:rsid w:val="00130251"/>
    <w:rsid w:val="00133A04"/>
    <w:rsid w:val="00140558"/>
    <w:rsid w:val="0014596B"/>
    <w:rsid w:val="00152160"/>
    <w:rsid w:val="00155532"/>
    <w:rsid w:val="00165772"/>
    <w:rsid w:val="00174782"/>
    <w:rsid w:val="00187582"/>
    <w:rsid w:val="00191E5F"/>
    <w:rsid w:val="001A1267"/>
    <w:rsid w:val="001A521F"/>
    <w:rsid w:val="001C369A"/>
    <w:rsid w:val="001E075A"/>
    <w:rsid w:val="001E419B"/>
    <w:rsid w:val="001F2B0C"/>
    <w:rsid w:val="001F3BAC"/>
    <w:rsid w:val="001F4E0D"/>
    <w:rsid w:val="00201168"/>
    <w:rsid w:val="002066B9"/>
    <w:rsid w:val="002069CC"/>
    <w:rsid w:val="002075CB"/>
    <w:rsid w:val="00213B7F"/>
    <w:rsid w:val="00221E1A"/>
    <w:rsid w:val="002228A5"/>
    <w:rsid w:val="00222D3F"/>
    <w:rsid w:val="002317E6"/>
    <w:rsid w:val="00237CDB"/>
    <w:rsid w:val="00247F21"/>
    <w:rsid w:val="00263B93"/>
    <w:rsid w:val="00266699"/>
    <w:rsid w:val="00280085"/>
    <w:rsid w:val="00286C09"/>
    <w:rsid w:val="002A2284"/>
    <w:rsid w:val="002A5361"/>
    <w:rsid w:val="002B11AE"/>
    <w:rsid w:val="002B28F0"/>
    <w:rsid w:val="002B5AF3"/>
    <w:rsid w:val="002B7E93"/>
    <w:rsid w:val="002C01C7"/>
    <w:rsid w:val="002C6880"/>
    <w:rsid w:val="002C77F4"/>
    <w:rsid w:val="002D3A4C"/>
    <w:rsid w:val="002D76A9"/>
    <w:rsid w:val="002E7A30"/>
    <w:rsid w:val="002F29A5"/>
    <w:rsid w:val="002F486B"/>
    <w:rsid w:val="0030036B"/>
    <w:rsid w:val="003037A0"/>
    <w:rsid w:val="0032116F"/>
    <w:rsid w:val="00321414"/>
    <w:rsid w:val="00322A03"/>
    <w:rsid w:val="0032579C"/>
    <w:rsid w:val="00333987"/>
    <w:rsid w:val="00333F65"/>
    <w:rsid w:val="0033413F"/>
    <w:rsid w:val="003364BB"/>
    <w:rsid w:val="00337518"/>
    <w:rsid w:val="00344F32"/>
    <w:rsid w:val="003478D1"/>
    <w:rsid w:val="003512DD"/>
    <w:rsid w:val="00354923"/>
    <w:rsid w:val="00371C77"/>
    <w:rsid w:val="00375347"/>
    <w:rsid w:val="0037542D"/>
    <w:rsid w:val="00377E47"/>
    <w:rsid w:val="003938B2"/>
    <w:rsid w:val="003953FA"/>
    <w:rsid w:val="00396C7B"/>
    <w:rsid w:val="003A367A"/>
    <w:rsid w:val="003A5499"/>
    <w:rsid w:val="003B1881"/>
    <w:rsid w:val="003C0FA4"/>
    <w:rsid w:val="003C284B"/>
    <w:rsid w:val="003C584B"/>
    <w:rsid w:val="003E4B0B"/>
    <w:rsid w:val="003F1B70"/>
    <w:rsid w:val="003F3B0D"/>
    <w:rsid w:val="003F4912"/>
    <w:rsid w:val="003F65B9"/>
    <w:rsid w:val="003F6EE2"/>
    <w:rsid w:val="00405299"/>
    <w:rsid w:val="00410242"/>
    <w:rsid w:val="00410C0A"/>
    <w:rsid w:val="00415192"/>
    <w:rsid w:val="00421736"/>
    <w:rsid w:val="00430ADF"/>
    <w:rsid w:val="004321EB"/>
    <w:rsid w:val="00465338"/>
    <w:rsid w:val="00467602"/>
    <w:rsid w:val="004712F0"/>
    <w:rsid w:val="0047788C"/>
    <w:rsid w:val="0048342C"/>
    <w:rsid w:val="0048349F"/>
    <w:rsid w:val="00483564"/>
    <w:rsid w:val="00483AFF"/>
    <w:rsid w:val="004858ED"/>
    <w:rsid w:val="00487E2E"/>
    <w:rsid w:val="004A7D21"/>
    <w:rsid w:val="004B15DC"/>
    <w:rsid w:val="004C0D96"/>
    <w:rsid w:val="004D2CC6"/>
    <w:rsid w:val="004D3893"/>
    <w:rsid w:val="004E699C"/>
    <w:rsid w:val="004F011C"/>
    <w:rsid w:val="00503B13"/>
    <w:rsid w:val="00511329"/>
    <w:rsid w:val="005117DD"/>
    <w:rsid w:val="00522FE8"/>
    <w:rsid w:val="005238D8"/>
    <w:rsid w:val="0052397A"/>
    <w:rsid w:val="005266DD"/>
    <w:rsid w:val="00534892"/>
    <w:rsid w:val="00540C61"/>
    <w:rsid w:val="005424FA"/>
    <w:rsid w:val="005450F0"/>
    <w:rsid w:val="005466A1"/>
    <w:rsid w:val="00551046"/>
    <w:rsid w:val="00564462"/>
    <w:rsid w:val="00586E08"/>
    <w:rsid w:val="00593F42"/>
    <w:rsid w:val="00596C0E"/>
    <w:rsid w:val="00597987"/>
    <w:rsid w:val="005B09D5"/>
    <w:rsid w:val="005B720B"/>
    <w:rsid w:val="005B7B63"/>
    <w:rsid w:val="005C014B"/>
    <w:rsid w:val="005C3221"/>
    <w:rsid w:val="005C755E"/>
    <w:rsid w:val="005E37AA"/>
    <w:rsid w:val="005E4574"/>
    <w:rsid w:val="005E4C87"/>
    <w:rsid w:val="005F6FFB"/>
    <w:rsid w:val="00604B33"/>
    <w:rsid w:val="00605773"/>
    <w:rsid w:val="00611637"/>
    <w:rsid w:val="00611C43"/>
    <w:rsid w:val="00631A44"/>
    <w:rsid w:val="006470AF"/>
    <w:rsid w:val="00650DCC"/>
    <w:rsid w:val="00657352"/>
    <w:rsid w:val="006605FC"/>
    <w:rsid w:val="00662326"/>
    <w:rsid w:val="006676A6"/>
    <w:rsid w:val="00674C5E"/>
    <w:rsid w:val="00677159"/>
    <w:rsid w:val="00677F02"/>
    <w:rsid w:val="006808B4"/>
    <w:rsid w:val="006822FE"/>
    <w:rsid w:val="00684C7B"/>
    <w:rsid w:val="006950AC"/>
    <w:rsid w:val="00695BC5"/>
    <w:rsid w:val="006A4694"/>
    <w:rsid w:val="006B3E6B"/>
    <w:rsid w:val="006D4572"/>
    <w:rsid w:val="006E7E97"/>
    <w:rsid w:val="006F19CA"/>
    <w:rsid w:val="006F2E7B"/>
    <w:rsid w:val="0070530F"/>
    <w:rsid w:val="0071026E"/>
    <w:rsid w:val="007178FD"/>
    <w:rsid w:val="007256CC"/>
    <w:rsid w:val="00732370"/>
    <w:rsid w:val="00732D4A"/>
    <w:rsid w:val="007339B0"/>
    <w:rsid w:val="00740FA1"/>
    <w:rsid w:val="00747D5A"/>
    <w:rsid w:val="00754585"/>
    <w:rsid w:val="00757B89"/>
    <w:rsid w:val="00765BA0"/>
    <w:rsid w:val="00771BE4"/>
    <w:rsid w:val="00773A8D"/>
    <w:rsid w:val="00786BF3"/>
    <w:rsid w:val="007902C0"/>
    <w:rsid w:val="00793B30"/>
    <w:rsid w:val="007B4EE1"/>
    <w:rsid w:val="007C7128"/>
    <w:rsid w:val="007E2AAE"/>
    <w:rsid w:val="007E33D6"/>
    <w:rsid w:val="007F0D74"/>
    <w:rsid w:val="007F2ABA"/>
    <w:rsid w:val="007F5B4C"/>
    <w:rsid w:val="007F62BC"/>
    <w:rsid w:val="008140DA"/>
    <w:rsid w:val="00816329"/>
    <w:rsid w:val="0083106B"/>
    <w:rsid w:val="00831E1A"/>
    <w:rsid w:val="00832BDC"/>
    <w:rsid w:val="008377B9"/>
    <w:rsid w:val="00837C84"/>
    <w:rsid w:val="00837D8D"/>
    <w:rsid w:val="0085072E"/>
    <w:rsid w:val="00850B0D"/>
    <w:rsid w:val="008563FA"/>
    <w:rsid w:val="00856DD0"/>
    <w:rsid w:val="0086019A"/>
    <w:rsid w:val="00863864"/>
    <w:rsid w:val="00865842"/>
    <w:rsid w:val="00867E51"/>
    <w:rsid w:val="00873087"/>
    <w:rsid w:val="00875A16"/>
    <w:rsid w:val="00882B38"/>
    <w:rsid w:val="00883663"/>
    <w:rsid w:val="008843DF"/>
    <w:rsid w:val="00884853"/>
    <w:rsid w:val="00884FEC"/>
    <w:rsid w:val="00891090"/>
    <w:rsid w:val="0089439A"/>
    <w:rsid w:val="00897C72"/>
    <w:rsid w:val="008A27A4"/>
    <w:rsid w:val="008A55E5"/>
    <w:rsid w:val="008A5F2F"/>
    <w:rsid w:val="008B60AB"/>
    <w:rsid w:val="008B7FAA"/>
    <w:rsid w:val="008C1220"/>
    <w:rsid w:val="008D042A"/>
    <w:rsid w:val="008D3F2B"/>
    <w:rsid w:val="008E14DA"/>
    <w:rsid w:val="008E5862"/>
    <w:rsid w:val="008F28B1"/>
    <w:rsid w:val="008F332C"/>
    <w:rsid w:val="008F65C9"/>
    <w:rsid w:val="008F7849"/>
    <w:rsid w:val="00905684"/>
    <w:rsid w:val="00910EEF"/>
    <w:rsid w:val="009223F0"/>
    <w:rsid w:val="00926C9D"/>
    <w:rsid w:val="00927353"/>
    <w:rsid w:val="009356EB"/>
    <w:rsid w:val="00943F3C"/>
    <w:rsid w:val="00944DEC"/>
    <w:rsid w:val="009456DC"/>
    <w:rsid w:val="0095180E"/>
    <w:rsid w:val="00951C34"/>
    <w:rsid w:val="009539D1"/>
    <w:rsid w:val="00953BDD"/>
    <w:rsid w:val="00956FA6"/>
    <w:rsid w:val="009769F7"/>
    <w:rsid w:val="00986E7E"/>
    <w:rsid w:val="009943D1"/>
    <w:rsid w:val="009A2738"/>
    <w:rsid w:val="009A2CC8"/>
    <w:rsid w:val="009B0B48"/>
    <w:rsid w:val="009B4A7B"/>
    <w:rsid w:val="009B7561"/>
    <w:rsid w:val="009D274B"/>
    <w:rsid w:val="009D61AB"/>
    <w:rsid w:val="009E4D68"/>
    <w:rsid w:val="009E56F3"/>
    <w:rsid w:val="009F2255"/>
    <w:rsid w:val="009F68A3"/>
    <w:rsid w:val="009F6A4D"/>
    <w:rsid w:val="00A064A2"/>
    <w:rsid w:val="00A1213B"/>
    <w:rsid w:val="00A15785"/>
    <w:rsid w:val="00A20308"/>
    <w:rsid w:val="00A26356"/>
    <w:rsid w:val="00A277EE"/>
    <w:rsid w:val="00A365F6"/>
    <w:rsid w:val="00A36E57"/>
    <w:rsid w:val="00A42F76"/>
    <w:rsid w:val="00A47E89"/>
    <w:rsid w:val="00A51080"/>
    <w:rsid w:val="00A51F5A"/>
    <w:rsid w:val="00A66291"/>
    <w:rsid w:val="00A73D26"/>
    <w:rsid w:val="00A803A1"/>
    <w:rsid w:val="00A80415"/>
    <w:rsid w:val="00A93E0A"/>
    <w:rsid w:val="00AB0599"/>
    <w:rsid w:val="00AC03C3"/>
    <w:rsid w:val="00AC3AEB"/>
    <w:rsid w:val="00AC3E4C"/>
    <w:rsid w:val="00AC4DCB"/>
    <w:rsid w:val="00AC6AC3"/>
    <w:rsid w:val="00AD1335"/>
    <w:rsid w:val="00AD4EC2"/>
    <w:rsid w:val="00AE40FF"/>
    <w:rsid w:val="00AE5582"/>
    <w:rsid w:val="00B04E49"/>
    <w:rsid w:val="00B078C3"/>
    <w:rsid w:val="00B12FED"/>
    <w:rsid w:val="00B14083"/>
    <w:rsid w:val="00B16266"/>
    <w:rsid w:val="00B274B9"/>
    <w:rsid w:val="00B3189C"/>
    <w:rsid w:val="00B32188"/>
    <w:rsid w:val="00B34A38"/>
    <w:rsid w:val="00B35E2A"/>
    <w:rsid w:val="00B509FE"/>
    <w:rsid w:val="00B542C1"/>
    <w:rsid w:val="00B542FC"/>
    <w:rsid w:val="00B57C5A"/>
    <w:rsid w:val="00B76DF0"/>
    <w:rsid w:val="00B77C00"/>
    <w:rsid w:val="00B85400"/>
    <w:rsid w:val="00B85557"/>
    <w:rsid w:val="00B90B90"/>
    <w:rsid w:val="00B95F00"/>
    <w:rsid w:val="00B96612"/>
    <w:rsid w:val="00BA062E"/>
    <w:rsid w:val="00BA2F02"/>
    <w:rsid w:val="00BA3C96"/>
    <w:rsid w:val="00BB4C75"/>
    <w:rsid w:val="00BC3C64"/>
    <w:rsid w:val="00BC530C"/>
    <w:rsid w:val="00BC6F39"/>
    <w:rsid w:val="00BD0739"/>
    <w:rsid w:val="00BD18F2"/>
    <w:rsid w:val="00BD7F32"/>
    <w:rsid w:val="00BE059F"/>
    <w:rsid w:val="00BE5C3B"/>
    <w:rsid w:val="00BF0AD5"/>
    <w:rsid w:val="00BF303D"/>
    <w:rsid w:val="00BF5E6B"/>
    <w:rsid w:val="00C1744E"/>
    <w:rsid w:val="00C34959"/>
    <w:rsid w:val="00C35396"/>
    <w:rsid w:val="00C35F73"/>
    <w:rsid w:val="00C46FE5"/>
    <w:rsid w:val="00C47FD2"/>
    <w:rsid w:val="00C53774"/>
    <w:rsid w:val="00C54708"/>
    <w:rsid w:val="00C64995"/>
    <w:rsid w:val="00C7269C"/>
    <w:rsid w:val="00C72CE3"/>
    <w:rsid w:val="00C836EA"/>
    <w:rsid w:val="00C84513"/>
    <w:rsid w:val="00C84B15"/>
    <w:rsid w:val="00CA6FAD"/>
    <w:rsid w:val="00CA789B"/>
    <w:rsid w:val="00CC1A29"/>
    <w:rsid w:val="00CE2122"/>
    <w:rsid w:val="00CF5BC0"/>
    <w:rsid w:val="00D06BF1"/>
    <w:rsid w:val="00D1121C"/>
    <w:rsid w:val="00D12F86"/>
    <w:rsid w:val="00D157E8"/>
    <w:rsid w:val="00D22A8A"/>
    <w:rsid w:val="00D2310D"/>
    <w:rsid w:val="00D23C66"/>
    <w:rsid w:val="00D2421A"/>
    <w:rsid w:val="00D2592E"/>
    <w:rsid w:val="00D34173"/>
    <w:rsid w:val="00D34221"/>
    <w:rsid w:val="00D410A9"/>
    <w:rsid w:val="00D44337"/>
    <w:rsid w:val="00D62C48"/>
    <w:rsid w:val="00D64CF5"/>
    <w:rsid w:val="00D66F23"/>
    <w:rsid w:val="00D73884"/>
    <w:rsid w:val="00D774A6"/>
    <w:rsid w:val="00DA4E57"/>
    <w:rsid w:val="00DC04AD"/>
    <w:rsid w:val="00DE7954"/>
    <w:rsid w:val="00E11831"/>
    <w:rsid w:val="00E12700"/>
    <w:rsid w:val="00E201FB"/>
    <w:rsid w:val="00E20E98"/>
    <w:rsid w:val="00E25B87"/>
    <w:rsid w:val="00E26E2E"/>
    <w:rsid w:val="00E315CF"/>
    <w:rsid w:val="00E34E55"/>
    <w:rsid w:val="00E35860"/>
    <w:rsid w:val="00E442A6"/>
    <w:rsid w:val="00E473D4"/>
    <w:rsid w:val="00E73A19"/>
    <w:rsid w:val="00E832BB"/>
    <w:rsid w:val="00E84378"/>
    <w:rsid w:val="00E84AED"/>
    <w:rsid w:val="00E8505D"/>
    <w:rsid w:val="00E87863"/>
    <w:rsid w:val="00E922BF"/>
    <w:rsid w:val="00E97A58"/>
    <w:rsid w:val="00EA587E"/>
    <w:rsid w:val="00EA7CDA"/>
    <w:rsid w:val="00ED0E53"/>
    <w:rsid w:val="00EE20C9"/>
    <w:rsid w:val="00EF0AA9"/>
    <w:rsid w:val="00F01087"/>
    <w:rsid w:val="00F15983"/>
    <w:rsid w:val="00F20CA6"/>
    <w:rsid w:val="00F3012D"/>
    <w:rsid w:val="00F56F2A"/>
    <w:rsid w:val="00F60BF1"/>
    <w:rsid w:val="00F80945"/>
    <w:rsid w:val="00F83135"/>
    <w:rsid w:val="00F8360C"/>
    <w:rsid w:val="00F9308C"/>
    <w:rsid w:val="00F947FD"/>
    <w:rsid w:val="00FA06BD"/>
    <w:rsid w:val="00FA1253"/>
    <w:rsid w:val="00FC7677"/>
    <w:rsid w:val="00FE1E83"/>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4CDD9"/>
  <w15:chartTrackingRefBased/>
  <w15:docId w15:val="{283F3CD6-7D60-4D79-98C7-0790EE75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6A4694"/>
    <w:pPr>
      <w:numPr>
        <w:numId w:val="12"/>
      </w:numPr>
    </w:pPr>
    <w:rPr>
      <w:rFonts w:ascii="Arial" w:hAnsi="Arial"/>
      <w:sz w:val="20"/>
    </w:rPr>
  </w:style>
  <w:style w:type="paragraph" w:styleId="DocumentMap">
    <w:name w:val="Document Map"/>
    <w:basedOn w:val="Normal"/>
    <w:semiHidden/>
    <w:rsid w:val="008377B9"/>
    <w:pPr>
      <w:shd w:val="clear" w:color="auto" w:fill="000080"/>
    </w:pPr>
    <w:rPr>
      <w:rFonts w:ascii="Tahoma" w:hAnsi="Tahoma" w:cs="Tahoma"/>
      <w:sz w:val="20"/>
      <w:szCs w:val="20"/>
    </w:rPr>
  </w:style>
  <w:style w:type="character" w:customStyle="1" w:styleId="Heading3Char">
    <w:name w:val="Heading 3 Char"/>
    <w:aliases w:val="Section Char,(Appendix Nbr) Char,Level 1 - 1 Char,Heading 3 Char Char Char"/>
    <w:link w:val="Heading3"/>
    <w:locked/>
    <w:rsid w:val="00786BF3"/>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60587133">
      <w:bodyDiv w:val="1"/>
      <w:marLeft w:val="0"/>
      <w:marRight w:val="0"/>
      <w:marTop w:val="0"/>
      <w:marBottom w:val="0"/>
      <w:divBdr>
        <w:top w:val="none" w:sz="0" w:space="0" w:color="auto"/>
        <w:left w:val="none" w:sz="0" w:space="0" w:color="auto"/>
        <w:bottom w:val="none" w:sz="0" w:space="0" w:color="auto"/>
        <w:right w:val="none" w:sz="0" w:space="0" w:color="auto"/>
      </w:divBdr>
    </w:div>
    <w:div w:id="17834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32D5D-311C-485E-B7C5-EE47CA2DB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36410-D242-449E-873F-2137D1B675D6}">
  <ds:schemaRefs>
    <ds:schemaRef ds:uri="http://schemas.microsoft.com/office/2006/metadata/properties"/>
    <ds:schemaRef ds:uri="http://schemas.microsoft.com/office/infopath/2007/PartnerControls"/>
    <ds:schemaRef ds:uri="9ff9992a-f9a2-4005-8dd6-337693557d1a"/>
    <ds:schemaRef ds:uri="9340bb95-2a86-4201-a9f8-eb77e47ad5c3"/>
  </ds:schemaRefs>
</ds:datastoreItem>
</file>

<file path=customXml/itemProps3.xml><?xml version="1.0" encoding="utf-8"?>
<ds:datastoreItem xmlns:ds="http://schemas.openxmlformats.org/officeDocument/2006/customXml" ds:itemID="{8C2CD195-6D23-46ED-B74A-8C3DB3DB1A71}">
  <ds:schemaRefs>
    <ds:schemaRef ds:uri="http://schemas.microsoft.com/office/2006/metadata/longProperties"/>
  </ds:schemaRefs>
</ds:datastoreItem>
</file>

<file path=customXml/itemProps4.xml><?xml version="1.0" encoding="utf-8"?>
<ds:datastoreItem xmlns:ds="http://schemas.openxmlformats.org/officeDocument/2006/customXml" ds:itemID="{AB153E91-B8A4-45AD-B877-221E6429AC50}">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6</TotalTime>
  <Pages>6</Pages>
  <Words>1709</Words>
  <Characters>9746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11433</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cp:revision>
  <cp:lastPrinted>2011-08-03T02:40:00Z</cp:lastPrinted>
  <dcterms:created xsi:type="dcterms:W3CDTF">2026-05-22T03:09:00Z</dcterms:created>
  <dcterms:modified xsi:type="dcterms:W3CDTF">2026-05-22T03:09:00Z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Craig Skett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docLang">
    <vt:lpwstr>en</vt:lpwstr>
  </property>
  <property fmtid="{D5CDD505-2E9C-101B-9397-08002B2CF9AE}" pid="6" name="MediaServiceImageTags">
    <vt:lpwstr/>
  </property>
</Properties>
</file>