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3A61" w14:textId="75CDBACD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9F1BFD">
        <w:rPr>
          <w:color w:val="005687" w:themeColor="text2"/>
          <w:sz w:val="36"/>
          <w:szCs w:val="36"/>
        </w:rPr>
        <w:t xml:space="preserve"> Cellar </w:t>
      </w:r>
      <w:r w:rsidR="006F69D5">
        <w:rPr>
          <w:color w:val="005687" w:themeColor="text2"/>
          <w:sz w:val="36"/>
          <w:szCs w:val="36"/>
        </w:rPr>
        <w:t>Team Member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CA6C77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CA6C77" w:rsidRDefault="002E4B23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1306E792" w:rsidR="00CA0A34" w:rsidRPr="00CA6C77" w:rsidRDefault="009F1BFD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Marlborough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02B7233D" w:rsidR="00CA0A34" w:rsidRPr="00CA6C77" w:rsidRDefault="006F69D5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Production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1B658FB3" w:rsidR="00CA0A34" w:rsidRPr="00CA6C77" w:rsidRDefault="00681DF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Cellar and Lab Team Leader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291A92D5" w:rsidR="00CA0A34" w:rsidRPr="00CA6C77" w:rsidRDefault="00681DF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J</w:t>
            </w:r>
            <w:r w:rsidR="006F69D5">
              <w:rPr>
                <w:color w:val="005687" w:themeColor="text2"/>
                <w:sz w:val="18"/>
                <w:szCs w:val="18"/>
              </w:rPr>
              <w:t>uly 2025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1F44B98A" w:rsidR="00984F36" w:rsidRPr="00CA6C77" w:rsidRDefault="00B6161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Lab, Cellar, Production and Quality Teams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3B761966" w:rsidR="00D7626D" w:rsidRPr="00CA6C77" w:rsidRDefault="00A8086B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Wine Express, Transport Companies, Clients and Winemakers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2A99273C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 xml:space="preserve">$ </w:t>
            </w:r>
            <w:r w:rsidR="00A8086B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1E2A10D3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No.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7B7FC04E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666D18B9" w14:textId="09ED5F46" w:rsidR="009E2D9D" w:rsidRPr="006A6748" w:rsidRDefault="009E2D9D" w:rsidP="009E2D9D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25A7070" wp14:editId="4C0A0F05">
            <wp:simplePos x="0" y="0"/>
            <wp:positionH relativeFrom="margin">
              <wp:align>left</wp:align>
            </wp:positionH>
            <wp:positionV relativeFrom="paragraph">
              <wp:posOffset>154222</wp:posOffset>
            </wp:positionV>
            <wp:extent cx="5970905" cy="2620645"/>
            <wp:effectExtent l="0" t="0" r="0" b="8255"/>
            <wp:wrapTight wrapText="bothSides">
              <wp:wrapPolygon edited="0">
                <wp:start x="8339" y="0"/>
                <wp:lineTo x="8339" y="4082"/>
                <wp:lineTo x="9028" y="5024"/>
                <wp:lineTo x="8683" y="5496"/>
                <wp:lineTo x="8408" y="5967"/>
                <wp:lineTo x="8476" y="10049"/>
                <wp:lineTo x="8752" y="10049"/>
                <wp:lineTo x="8752" y="19156"/>
                <wp:lineTo x="8959" y="20098"/>
                <wp:lineTo x="9303" y="20098"/>
                <wp:lineTo x="9303" y="21511"/>
                <wp:lineTo x="13163" y="21511"/>
                <wp:lineTo x="13300" y="11619"/>
                <wp:lineTo x="9028" y="10049"/>
                <wp:lineTo x="12060" y="10049"/>
                <wp:lineTo x="12405" y="9735"/>
                <wp:lineTo x="12405" y="6124"/>
                <wp:lineTo x="12129" y="5653"/>
                <wp:lineTo x="10475" y="5024"/>
                <wp:lineTo x="11509" y="5024"/>
                <wp:lineTo x="12267" y="3925"/>
                <wp:lineTo x="12198" y="0"/>
                <wp:lineTo x="8339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748">
        <w:rPr>
          <w:color w:val="005687" w:themeColor="text2"/>
          <w:sz w:val="28"/>
          <w:szCs w:val="28"/>
        </w:rPr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2F61FE20" w14:textId="101B90B8" w:rsidR="00023CB2" w:rsidRDefault="00023CB2" w:rsidP="009E2D9D">
      <w:pPr>
        <w:rPr>
          <w:color w:val="005687" w:themeColor="text2"/>
          <w:szCs w:val="20"/>
        </w:rPr>
      </w:pPr>
    </w:p>
    <w:p w14:paraId="0C8B919A" w14:textId="615D819B" w:rsidR="00B6018C" w:rsidRDefault="00B6018C" w:rsidP="009E2D9D">
      <w:pPr>
        <w:rPr>
          <w:color w:val="005687" w:themeColor="text2"/>
          <w:szCs w:val="20"/>
        </w:rPr>
      </w:pPr>
    </w:p>
    <w:p w14:paraId="5B420E25" w14:textId="10257E6E" w:rsidR="00B6018C" w:rsidRDefault="00B6018C" w:rsidP="009E2D9D">
      <w:pPr>
        <w:rPr>
          <w:color w:val="005687" w:themeColor="text2"/>
          <w:szCs w:val="20"/>
        </w:rPr>
      </w:pPr>
    </w:p>
    <w:p w14:paraId="09700566" w14:textId="298BDFD1" w:rsidR="00B6018C" w:rsidRDefault="00B6018C" w:rsidP="009E2D9D">
      <w:pPr>
        <w:rPr>
          <w:color w:val="005687" w:themeColor="text2"/>
          <w:szCs w:val="20"/>
        </w:rPr>
      </w:pPr>
    </w:p>
    <w:p w14:paraId="3545D756" w14:textId="77777777" w:rsidR="00EC2B47" w:rsidRDefault="00EC2B47" w:rsidP="009E2D9D">
      <w:pPr>
        <w:rPr>
          <w:color w:val="005687" w:themeColor="text2"/>
          <w:sz w:val="28"/>
          <w:szCs w:val="28"/>
        </w:rPr>
      </w:pPr>
    </w:p>
    <w:p w14:paraId="134D40B1" w14:textId="77777777" w:rsidR="00EC2B47" w:rsidRDefault="00EC2B47" w:rsidP="009E2D9D">
      <w:pPr>
        <w:rPr>
          <w:color w:val="005687" w:themeColor="text2"/>
          <w:sz w:val="28"/>
          <w:szCs w:val="28"/>
        </w:rPr>
      </w:pPr>
    </w:p>
    <w:p w14:paraId="39EA42EC" w14:textId="77777777" w:rsidR="00EC2B47" w:rsidRDefault="00EC2B47" w:rsidP="009E2D9D">
      <w:pPr>
        <w:rPr>
          <w:color w:val="005687" w:themeColor="text2"/>
          <w:sz w:val="28"/>
          <w:szCs w:val="28"/>
        </w:rPr>
      </w:pPr>
    </w:p>
    <w:p w14:paraId="0AE9347B" w14:textId="77777777" w:rsidR="00EC2B47" w:rsidRDefault="00EC2B47" w:rsidP="009E2D9D">
      <w:pPr>
        <w:rPr>
          <w:color w:val="005687" w:themeColor="text2"/>
          <w:sz w:val="28"/>
          <w:szCs w:val="28"/>
        </w:rPr>
      </w:pPr>
    </w:p>
    <w:p w14:paraId="359C81D4" w14:textId="77777777" w:rsidR="00E0259E" w:rsidRPr="00E0259E" w:rsidRDefault="00BB46E1" w:rsidP="00E0259E">
      <w:pPr>
        <w:tabs>
          <w:tab w:val="left" w:pos="3780"/>
        </w:tabs>
        <w:spacing w:after="0" w:line="240" w:lineRule="auto"/>
        <w:rPr>
          <w:rFonts w:cs="Arial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E0259E" w:rsidRPr="00E0259E">
        <w:rPr>
          <w:rFonts w:cs="Arial"/>
          <w:sz w:val="18"/>
          <w:szCs w:val="18"/>
        </w:rPr>
        <w:t>To ensure all product bottled by Wine Works Ltd is produced in line with the clients’ specifications and to ensure that the quality is maintained.</w:t>
      </w:r>
    </w:p>
    <w:p w14:paraId="502D8332" w14:textId="77777777" w:rsidR="00E0259E" w:rsidRPr="00E0259E" w:rsidRDefault="00E0259E" w:rsidP="00E0259E">
      <w:pPr>
        <w:tabs>
          <w:tab w:val="left" w:pos="3780"/>
        </w:tabs>
        <w:spacing w:after="0" w:line="240" w:lineRule="auto"/>
        <w:rPr>
          <w:rFonts w:cs="Arial"/>
          <w:sz w:val="18"/>
          <w:szCs w:val="18"/>
        </w:rPr>
      </w:pPr>
      <w:r w:rsidRPr="00E0259E">
        <w:rPr>
          <w:rFonts w:cs="Arial"/>
          <w:sz w:val="18"/>
          <w:szCs w:val="18"/>
        </w:rPr>
        <w:t>To ensure that product is prepared for bottling according to the production schedule time frames.</w:t>
      </w:r>
    </w:p>
    <w:p w14:paraId="7D0F058E" w14:textId="1D0A361F" w:rsidR="00E0259E" w:rsidRPr="00E0259E" w:rsidRDefault="00E0259E" w:rsidP="00E0259E">
      <w:pPr>
        <w:tabs>
          <w:tab w:val="left" w:pos="3780"/>
        </w:tabs>
        <w:spacing w:after="0" w:line="240" w:lineRule="auto"/>
        <w:rPr>
          <w:rFonts w:cs="Arial"/>
          <w:sz w:val="18"/>
          <w:szCs w:val="18"/>
        </w:rPr>
      </w:pPr>
      <w:r w:rsidRPr="00E0259E">
        <w:rPr>
          <w:rFonts w:cs="Arial"/>
          <w:sz w:val="18"/>
          <w:szCs w:val="18"/>
        </w:rPr>
        <w:t xml:space="preserve">To ensure the coordination of Truck movements are carried out in a safe and timely manner, BRC food safety certification requirements are adhered to, and all tankers are prepared and presented fit for purpose.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97075E" w:rsidRPr="00523139" w14:paraId="6D4558AC" w14:textId="77777777" w:rsidTr="00A87817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523139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523139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Is compliant with relevant legislation and certifications, such as BRCGS, </w:t>
            </w:r>
            <w:proofErr w:type="gramStart"/>
            <w:r w:rsidRPr="00523139">
              <w:rPr>
                <w:rStyle w:val="normaltextrun"/>
                <w:sz w:val="18"/>
                <w:szCs w:val="18"/>
              </w:rPr>
              <w:t>so as to</w:t>
            </w:r>
            <w:proofErr w:type="gramEnd"/>
            <w:r w:rsidRPr="00523139">
              <w:rPr>
                <w:rStyle w:val="normaltextrun"/>
                <w:sz w:val="18"/>
                <w:szCs w:val="18"/>
              </w:rPr>
              <w:t xml:space="preserve"> meet legal and client requirements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  <w:r w:rsidRPr="00523139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08B9E2A7" w:rsidR="002429B8" w:rsidRPr="00523139" w:rsidRDefault="00A542C4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Cellar Tasks</w:t>
            </w:r>
          </w:p>
        </w:tc>
        <w:tc>
          <w:tcPr>
            <w:tcW w:w="7217" w:type="dxa"/>
          </w:tcPr>
          <w:p w14:paraId="30C3D615" w14:textId="72478940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Monitor and assist in the Cellar Scheduling and co-ordinate with Lab, Cellar, and Transport Teams.</w:t>
            </w:r>
          </w:p>
          <w:p w14:paraId="63F8B9B8" w14:textId="5AB188E3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To ensure the wine meets the customers’ specifications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7F9BCBB" w14:textId="77777777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Complete wine finishing as required, work with lab to ensure wine is Green Tagged prior to scheduled start time.</w:t>
            </w:r>
          </w:p>
          <w:p w14:paraId="22CA3990" w14:textId="7BCBF637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Perform additions, blending and transfers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70565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30F04CE" w14:textId="10D2A336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Ensure wine is ready and in the cellar in line with the production schedule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16A005D" w14:textId="226B5A56" w:rsidR="002429B8" w:rsidRPr="0070680A" w:rsidRDefault="00705658" w:rsidP="0070680A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Cellar duties which include but not limited to; tank/line CIP and sterilisation, plant hygiene and maintenance as required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E2817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758EC5B2" w:rsidR="00CE2817" w:rsidRPr="00523139" w:rsidRDefault="00705658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Cellar Tasks Continued</w:t>
            </w:r>
          </w:p>
        </w:tc>
        <w:tc>
          <w:tcPr>
            <w:tcW w:w="7217" w:type="dxa"/>
          </w:tcPr>
          <w:p w14:paraId="278B4BAE" w14:textId="014328AB" w:rsidR="00705658" w:rsidRPr="00705658" w:rsidRDefault="00705658" w:rsidP="007056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The accurate documentation and recording of all processes in a timely manner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5E32083" w14:textId="77777777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Inspect and review for quality and environmental standards.</w:t>
            </w:r>
          </w:p>
          <w:p w14:paraId="15631450" w14:textId="77777777" w:rsidR="00705658" w:rsidRPr="00705658" w:rsidRDefault="00705658" w:rsidP="00705658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>Recommend measures to improve productivity and product quality.</w:t>
            </w:r>
          </w:p>
          <w:p w14:paraId="67731523" w14:textId="32CBCEF5" w:rsidR="00CE2817" w:rsidRPr="00523139" w:rsidRDefault="00705658" w:rsidP="007056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5658">
              <w:rPr>
                <w:rFonts w:cstheme="minorHAnsi"/>
                <w:sz w:val="18"/>
                <w:szCs w:val="18"/>
              </w:rPr>
              <w:t xml:space="preserve">Have a working knowledge of HACCP, Health and Safety regulations, CIP (Cleaning </w:t>
            </w:r>
            <w:r w:rsidR="0070680A" w:rsidRPr="00705658">
              <w:rPr>
                <w:rFonts w:cstheme="minorHAnsi"/>
                <w:sz w:val="18"/>
                <w:szCs w:val="18"/>
              </w:rPr>
              <w:t>in</w:t>
            </w:r>
            <w:r w:rsidRPr="00705658">
              <w:rPr>
                <w:rFonts w:cstheme="minorHAnsi"/>
                <w:sz w:val="18"/>
                <w:szCs w:val="18"/>
              </w:rPr>
              <w:t xml:space="preserve"> Place).</w:t>
            </w:r>
          </w:p>
        </w:tc>
      </w:tr>
      <w:tr w:rsidR="00CE2817" w:rsidRPr="00523139" w14:paraId="72B16CD4" w14:textId="77777777" w:rsidTr="005F7225">
        <w:trPr>
          <w:trHeight w:val="540"/>
        </w:trPr>
        <w:tc>
          <w:tcPr>
            <w:tcW w:w="1843" w:type="dxa"/>
          </w:tcPr>
          <w:p w14:paraId="7FA1FA65" w14:textId="0B7359CD" w:rsidR="00CE2817" w:rsidRPr="00523139" w:rsidRDefault="00FE1C74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Food Safety</w:t>
            </w:r>
          </w:p>
        </w:tc>
        <w:tc>
          <w:tcPr>
            <w:tcW w:w="7217" w:type="dxa"/>
          </w:tcPr>
          <w:p w14:paraId="52EFF79F" w14:textId="77777777" w:rsidR="002C64FB" w:rsidRPr="002C64FB" w:rsidRDefault="002C64FB" w:rsidP="002C64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64FB">
              <w:rPr>
                <w:rFonts w:cstheme="minorHAnsi"/>
                <w:color w:val="000000"/>
                <w:sz w:val="18"/>
                <w:szCs w:val="18"/>
              </w:rPr>
              <w:t>To follow the requirements of the site food safety and HACCP Plan. Knowledge of CCP’s and training is required (For operations staff).</w:t>
            </w:r>
          </w:p>
          <w:p w14:paraId="5AFB6BAC" w14:textId="77777777" w:rsidR="002C64FB" w:rsidRPr="002C64FB" w:rsidRDefault="002C64FB" w:rsidP="002C64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64FB">
              <w:rPr>
                <w:rFonts w:cstheme="minorHAnsi"/>
                <w:color w:val="000000"/>
                <w:sz w:val="18"/>
                <w:szCs w:val="18"/>
              </w:rPr>
              <w:t>Follow the requirements of food safety standards and certification standards, e.g. BRC Global Standard, WSMP, SWNZ and company policies and procedures.</w:t>
            </w:r>
          </w:p>
          <w:p w14:paraId="7A5E8850" w14:textId="77777777" w:rsidR="002C64FB" w:rsidRPr="002C64FB" w:rsidRDefault="002C64FB" w:rsidP="002C64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64FB">
              <w:rPr>
                <w:rFonts w:cstheme="minorHAnsi"/>
                <w:color w:val="000000"/>
                <w:sz w:val="18"/>
                <w:szCs w:val="18"/>
              </w:rPr>
              <w:t>Ensure food safety, allergen and regulatory requirements are adhered to in all products.</w:t>
            </w:r>
          </w:p>
          <w:p w14:paraId="17A0554F" w14:textId="77777777" w:rsidR="002C64FB" w:rsidRPr="002C64FB" w:rsidRDefault="002C64FB" w:rsidP="002C64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64FB">
              <w:rPr>
                <w:rFonts w:cstheme="minorHAnsi"/>
                <w:color w:val="000000"/>
                <w:sz w:val="18"/>
                <w:szCs w:val="18"/>
              </w:rPr>
              <w:t>Carry out tasks in a hygienic manner that protects the products as per the hygiene policy.</w:t>
            </w:r>
          </w:p>
          <w:p w14:paraId="040FF187" w14:textId="2C6C546F" w:rsidR="00CE2817" w:rsidRPr="00523139" w:rsidRDefault="00CE2817" w:rsidP="002C64FB">
            <w:pPr>
              <w:pStyle w:val="ListParagraph"/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97075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Proactively identify methods to utilise this information for the benefit of the business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0A87817">
        <w:tc>
          <w:tcPr>
            <w:tcW w:w="1843" w:type="dxa"/>
          </w:tcPr>
          <w:p w14:paraId="19CBB657" w14:textId="34ABA11A" w:rsidR="0097075E" w:rsidRPr="00A939AD" w:rsidRDefault="00A939AD" w:rsidP="00A939A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71EEE7D" w14:textId="5FBC6EFF" w:rsidR="0097075E" w:rsidRPr="00691ACC" w:rsidRDefault="00691ACC" w:rsidP="00B15C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</w:tbl>
    <w:p w14:paraId="5A0C97DE" w14:textId="15E3A40F" w:rsidR="006A6748" w:rsidRPr="001A207E" w:rsidRDefault="006A6748" w:rsidP="3A38D0C5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5BEC119C" w:rsidR="25B6DA84" w:rsidRDefault="006B40A7" w:rsidP="00AA1417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Limited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7587A111" w:rsidR="25B6DA84" w:rsidRDefault="002D0218" w:rsidP="00AA1417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Routine Processes with Existing Solutions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173748D8" w:rsidR="25B6DA84" w:rsidRDefault="002D0218" w:rsidP="00AA1417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</w:t>
            </w:r>
            <w:r w:rsidR="00CE7B4D">
              <w:rPr>
                <w:rFonts w:eastAsia="Roboto Light" w:cs="Roboto Light"/>
                <w:sz w:val="18"/>
                <w:szCs w:val="18"/>
              </w:rPr>
              <w:t>p</w:t>
            </w:r>
            <w:r>
              <w:rPr>
                <w:rFonts w:eastAsia="Roboto Light" w:cs="Roboto Light"/>
                <w:sz w:val="18"/>
                <w:szCs w:val="18"/>
              </w:rPr>
              <w:t>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74E0CA5A" w:rsidR="25B6DA84" w:rsidRDefault="00CE7B4D" w:rsidP="00AA1417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Courtesy Plus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3900823B" w:rsidR="25B6DA84" w:rsidRDefault="00AA1417" w:rsidP="00AA1417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Practical</w:t>
            </w:r>
          </w:p>
        </w:tc>
      </w:tr>
    </w:tbl>
    <w:p w14:paraId="35441230" w14:textId="77777777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0CCCADC7" w14:textId="457EF96A" w:rsidR="008E2CDA" w:rsidRPr="00773EB3" w:rsidRDefault="001A207E" w:rsidP="001A207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>
        <w:rPr>
          <w:rFonts w:ascii="Roboto Light" w:hAnsi="Roboto Light" w:cs="Segoe UI"/>
          <w:sz w:val="18"/>
          <w:szCs w:val="18"/>
        </w:rPr>
        <w:t xml:space="preserve">Previous </w:t>
      </w:r>
      <w:r w:rsidR="00773EB3">
        <w:rPr>
          <w:rFonts w:ascii="Roboto Light" w:hAnsi="Roboto Light" w:cs="Segoe UI"/>
          <w:sz w:val="18"/>
          <w:szCs w:val="18"/>
        </w:rPr>
        <w:t xml:space="preserve">Cellar </w:t>
      </w:r>
      <w:proofErr w:type="gramStart"/>
      <w:r w:rsidR="00773EB3">
        <w:rPr>
          <w:rFonts w:ascii="Roboto Light" w:hAnsi="Roboto Light" w:cs="Segoe UI"/>
          <w:sz w:val="18"/>
          <w:szCs w:val="18"/>
        </w:rPr>
        <w:t>experience</w:t>
      </w:r>
      <w:proofErr w:type="gramEnd"/>
      <w:r w:rsidR="00773EB3">
        <w:rPr>
          <w:rFonts w:ascii="Roboto Light" w:hAnsi="Roboto Light" w:cs="Segoe UI"/>
          <w:sz w:val="18"/>
          <w:szCs w:val="18"/>
        </w:rPr>
        <w:t xml:space="preserve"> an advantage.</w:t>
      </w:r>
    </w:p>
    <w:p w14:paraId="3B02A60E" w14:textId="1DBBAC66" w:rsidR="00773EB3" w:rsidRPr="00331134" w:rsidRDefault="00773EB3" w:rsidP="001A207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cs="Segoe UI"/>
          <w:sz w:val="18"/>
          <w:szCs w:val="18"/>
        </w:rPr>
      </w:pPr>
      <w:r>
        <w:rPr>
          <w:rFonts w:ascii="Roboto Light" w:hAnsi="Roboto Light" w:cs="Segoe UI"/>
          <w:sz w:val="18"/>
          <w:szCs w:val="18"/>
        </w:rPr>
        <w:t>Forklift operations experience an advantage.</w:t>
      </w:r>
    </w:p>
    <w:sectPr w:rsidR="00773EB3" w:rsidRPr="00331134" w:rsidSect="00106170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09AF" w14:textId="77777777" w:rsidR="009052CC" w:rsidRDefault="009052CC" w:rsidP="002231A9">
      <w:pPr>
        <w:spacing w:after="0" w:line="240" w:lineRule="auto"/>
      </w:pPr>
      <w:r>
        <w:separator/>
      </w:r>
    </w:p>
    <w:p w14:paraId="2690629B" w14:textId="77777777" w:rsidR="009052CC" w:rsidRDefault="009052CC"/>
  </w:endnote>
  <w:endnote w:type="continuationSeparator" w:id="0">
    <w:p w14:paraId="4CF15B1A" w14:textId="77777777" w:rsidR="009052CC" w:rsidRDefault="009052CC" w:rsidP="002231A9">
      <w:pPr>
        <w:spacing w:after="0" w:line="240" w:lineRule="auto"/>
      </w:pPr>
      <w:r>
        <w:continuationSeparator/>
      </w:r>
    </w:p>
    <w:p w14:paraId="6240CB23" w14:textId="77777777" w:rsidR="009052CC" w:rsidRDefault="009052CC"/>
  </w:endnote>
  <w:endnote w:type="continuationNotice" w:id="1">
    <w:p w14:paraId="10EC09C9" w14:textId="77777777" w:rsidR="009052CC" w:rsidRDefault="00905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6E947C0A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fldChar w:fldCharType="begin"/>
    </w:r>
    <w:r>
      <w:instrText xml:space="preserve"> DATE \@ "d MMMM yyyy" </w:instrText>
    </w:r>
    <w:r>
      <w:fldChar w:fldCharType="separate"/>
    </w:r>
    <w:r w:rsidR="006F69D5">
      <w:rPr>
        <w:noProof/>
      </w:rPr>
      <w:t>18 July 2025</w:t>
    </w:r>
    <w:r>
      <w:fldChar w:fldCharType="end"/>
    </w:r>
    <w:r>
      <w:t xml:space="preserve">   | </w:t>
    </w:r>
    <w:r w:rsidR="00773EB3">
      <w:t xml:space="preserve">WWML PD Cellar </w:t>
    </w:r>
    <w:r w:rsidR="00F07A78">
      <w:t>Team Member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1DAE6F0E" w:rsidR="00317136" w:rsidRPr="00106170" w:rsidRDefault="004038AD" w:rsidP="00310F20">
    <w:pPr>
      <w:pStyle w:val="Footer"/>
    </w:pPr>
    <w:r>
      <w:fldChar w:fldCharType="begin"/>
    </w:r>
    <w:r>
      <w:instrText xml:space="preserve"> DATE \@ "d MMMM yyyy" </w:instrText>
    </w:r>
    <w:r>
      <w:fldChar w:fldCharType="separate"/>
    </w:r>
    <w:r w:rsidR="006F69D5">
      <w:rPr>
        <w:noProof/>
      </w:rPr>
      <w:t>18 July 2025</w:t>
    </w:r>
    <w:r>
      <w:fldChar w:fldCharType="end"/>
    </w:r>
    <w:r>
      <w:t xml:space="preserve">   |   </w:t>
    </w:r>
    <w:r w:rsidR="00DC4C14">
      <w:t>WW</w:t>
    </w:r>
    <w:r w:rsidR="00392F85">
      <w:t xml:space="preserve">ML PD Cellar </w:t>
    </w:r>
    <w:r w:rsidR="00F07A78">
      <w:t>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BBE5E" w14:textId="77777777" w:rsidR="009052CC" w:rsidRDefault="009052CC" w:rsidP="002231A9">
      <w:pPr>
        <w:spacing w:after="0" w:line="240" w:lineRule="auto"/>
      </w:pPr>
      <w:r>
        <w:separator/>
      </w:r>
    </w:p>
    <w:p w14:paraId="2C12E295" w14:textId="77777777" w:rsidR="009052CC" w:rsidRDefault="009052CC"/>
  </w:footnote>
  <w:footnote w:type="continuationSeparator" w:id="0">
    <w:p w14:paraId="57D957D6" w14:textId="77777777" w:rsidR="009052CC" w:rsidRDefault="009052CC" w:rsidP="002231A9">
      <w:pPr>
        <w:spacing w:after="0" w:line="240" w:lineRule="auto"/>
      </w:pPr>
      <w:r>
        <w:continuationSeparator/>
      </w:r>
    </w:p>
    <w:p w14:paraId="480B8D2D" w14:textId="77777777" w:rsidR="009052CC" w:rsidRDefault="009052CC"/>
  </w:footnote>
  <w:footnote w:type="continuationNotice" w:id="1">
    <w:p w14:paraId="239C9F3E" w14:textId="77777777" w:rsidR="009052CC" w:rsidRDefault="00905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4" w15:restartNumberingAfterBreak="0">
    <w:nsid w:val="18453C56"/>
    <w:multiLevelType w:val="multilevel"/>
    <w:tmpl w:val="260E495A"/>
    <w:numStyleLink w:val="WineworksHighlightBullet"/>
  </w:abstractNum>
  <w:abstractNum w:abstractNumId="5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71598"/>
    <w:multiLevelType w:val="multilevel"/>
    <w:tmpl w:val="13A2AF8E"/>
    <w:numStyleLink w:val="WineworksBullets"/>
  </w:abstractNum>
  <w:abstractNum w:abstractNumId="7" w15:restartNumberingAfterBreak="0">
    <w:nsid w:val="214B7CEB"/>
    <w:multiLevelType w:val="multilevel"/>
    <w:tmpl w:val="D8061304"/>
    <w:numStyleLink w:val="WineworksNumbers"/>
  </w:abstractNum>
  <w:abstractNum w:abstractNumId="8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2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3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2F3A84"/>
    <w:multiLevelType w:val="hybridMultilevel"/>
    <w:tmpl w:val="13B090E0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4755"/>
    <w:multiLevelType w:val="hybridMultilevel"/>
    <w:tmpl w:val="77743C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846FE2"/>
    <w:multiLevelType w:val="hybridMultilevel"/>
    <w:tmpl w:val="E51889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3E03"/>
    <w:multiLevelType w:val="hybridMultilevel"/>
    <w:tmpl w:val="5CE4F2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387256">
    <w:abstractNumId w:val="9"/>
  </w:num>
  <w:num w:numId="2" w16cid:durableId="783233841">
    <w:abstractNumId w:val="3"/>
  </w:num>
  <w:num w:numId="3" w16cid:durableId="465973194">
    <w:abstractNumId w:val="0"/>
  </w:num>
  <w:num w:numId="4" w16cid:durableId="1675373991">
    <w:abstractNumId w:val="10"/>
  </w:num>
  <w:num w:numId="5" w16cid:durableId="1007363922">
    <w:abstractNumId w:val="7"/>
  </w:num>
  <w:num w:numId="6" w16cid:durableId="362556866">
    <w:abstractNumId w:val="6"/>
  </w:num>
  <w:num w:numId="7" w16cid:durableId="754858945">
    <w:abstractNumId w:val="12"/>
  </w:num>
  <w:num w:numId="8" w16cid:durableId="1423913310">
    <w:abstractNumId w:val="4"/>
  </w:num>
  <w:num w:numId="9" w16cid:durableId="1106923165">
    <w:abstractNumId w:val="11"/>
  </w:num>
  <w:num w:numId="10" w16cid:durableId="364792819">
    <w:abstractNumId w:val="2"/>
  </w:num>
  <w:num w:numId="11" w16cid:durableId="344290572">
    <w:abstractNumId w:val="5"/>
  </w:num>
  <w:num w:numId="12" w16cid:durableId="418215014">
    <w:abstractNumId w:val="13"/>
  </w:num>
  <w:num w:numId="13" w16cid:durableId="1886218291">
    <w:abstractNumId w:val="8"/>
  </w:num>
  <w:num w:numId="14" w16cid:durableId="262499778">
    <w:abstractNumId w:val="1"/>
  </w:num>
  <w:num w:numId="15" w16cid:durableId="1646813946">
    <w:abstractNumId w:val="15"/>
  </w:num>
  <w:num w:numId="16" w16cid:durableId="1262226097">
    <w:abstractNumId w:val="16"/>
  </w:num>
  <w:num w:numId="17" w16cid:durableId="377902435">
    <w:abstractNumId w:val="17"/>
  </w:num>
  <w:num w:numId="18" w16cid:durableId="18258999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2EC1"/>
    <w:rsid w:val="00080902"/>
    <w:rsid w:val="00082A40"/>
    <w:rsid w:val="0009096F"/>
    <w:rsid w:val="00094361"/>
    <w:rsid w:val="000A1510"/>
    <w:rsid w:val="000A7DB9"/>
    <w:rsid w:val="000C1ADC"/>
    <w:rsid w:val="000C7D03"/>
    <w:rsid w:val="000D0683"/>
    <w:rsid w:val="000D0AE6"/>
    <w:rsid w:val="000F738F"/>
    <w:rsid w:val="00106170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207E"/>
    <w:rsid w:val="001A43F6"/>
    <w:rsid w:val="001A7397"/>
    <w:rsid w:val="001B0E98"/>
    <w:rsid w:val="001B3EBF"/>
    <w:rsid w:val="001B4695"/>
    <w:rsid w:val="001E5D05"/>
    <w:rsid w:val="001E7275"/>
    <w:rsid w:val="002028CD"/>
    <w:rsid w:val="00203610"/>
    <w:rsid w:val="00204838"/>
    <w:rsid w:val="002056C3"/>
    <w:rsid w:val="00207244"/>
    <w:rsid w:val="002231A9"/>
    <w:rsid w:val="002235A1"/>
    <w:rsid w:val="0023250C"/>
    <w:rsid w:val="002349B6"/>
    <w:rsid w:val="00241794"/>
    <w:rsid w:val="002429B8"/>
    <w:rsid w:val="002432BB"/>
    <w:rsid w:val="00247766"/>
    <w:rsid w:val="00247C6B"/>
    <w:rsid w:val="002506DB"/>
    <w:rsid w:val="00250E7C"/>
    <w:rsid w:val="002524F0"/>
    <w:rsid w:val="00260768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C64FB"/>
    <w:rsid w:val="002D0218"/>
    <w:rsid w:val="002E4B23"/>
    <w:rsid w:val="002E7A4E"/>
    <w:rsid w:val="00300EF0"/>
    <w:rsid w:val="00310F20"/>
    <w:rsid w:val="00317136"/>
    <w:rsid w:val="003245AC"/>
    <w:rsid w:val="00331134"/>
    <w:rsid w:val="003312E1"/>
    <w:rsid w:val="003410A4"/>
    <w:rsid w:val="00342AD4"/>
    <w:rsid w:val="00344CD1"/>
    <w:rsid w:val="00346479"/>
    <w:rsid w:val="00363DFF"/>
    <w:rsid w:val="00373458"/>
    <w:rsid w:val="00374846"/>
    <w:rsid w:val="00383167"/>
    <w:rsid w:val="00392F85"/>
    <w:rsid w:val="003949B4"/>
    <w:rsid w:val="003A7361"/>
    <w:rsid w:val="003B04E8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2321B"/>
    <w:rsid w:val="00425A8F"/>
    <w:rsid w:val="00435860"/>
    <w:rsid w:val="00453E61"/>
    <w:rsid w:val="0047382A"/>
    <w:rsid w:val="00473B87"/>
    <w:rsid w:val="00480C67"/>
    <w:rsid w:val="00481408"/>
    <w:rsid w:val="00491B4D"/>
    <w:rsid w:val="004943B6"/>
    <w:rsid w:val="004A074D"/>
    <w:rsid w:val="004B4FCA"/>
    <w:rsid w:val="004B7D10"/>
    <w:rsid w:val="004C0CFB"/>
    <w:rsid w:val="004C1ABE"/>
    <w:rsid w:val="004C7E7D"/>
    <w:rsid w:val="004D0863"/>
    <w:rsid w:val="004D1F21"/>
    <w:rsid w:val="004D72BD"/>
    <w:rsid w:val="004E5C48"/>
    <w:rsid w:val="004F1219"/>
    <w:rsid w:val="005022EE"/>
    <w:rsid w:val="00503C71"/>
    <w:rsid w:val="00510AF1"/>
    <w:rsid w:val="00515D6D"/>
    <w:rsid w:val="005220F7"/>
    <w:rsid w:val="00523139"/>
    <w:rsid w:val="00531371"/>
    <w:rsid w:val="005343C6"/>
    <w:rsid w:val="00553C3D"/>
    <w:rsid w:val="00555CF8"/>
    <w:rsid w:val="00556830"/>
    <w:rsid w:val="00570202"/>
    <w:rsid w:val="005733A0"/>
    <w:rsid w:val="0057498D"/>
    <w:rsid w:val="00595B60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8F9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72146"/>
    <w:rsid w:val="00675ABF"/>
    <w:rsid w:val="00681DFC"/>
    <w:rsid w:val="00687C03"/>
    <w:rsid w:val="00691ACC"/>
    <w:rsid w:val="00694048"/>
    <w:rsid w:val="00694C6E"/>
    <w:rsid w:val="006A4952"/>
    <w:rsid w:val="006A6748"/>
    <w:rsid w:val="006A769F"/>
    <w:rsid w:val="006B2411"/>
    <w:rsid w:val="006B40A7"/>
    <w:rsid w:val="006B5F72"/>
    <w:rsid w:val="006B676E"/>
    <w:rsid w:val="006C5897"/>
    <w:rsid w:val="006C6719"/>
    <w:rsid w:val="006E0310"/>
    <w:rsid w:val="006F549B"/>
    <w:rsid w:val="006F69D5"/>
    <w:rsid w:val="00705658"/>
    <w:rsid w:val="0070680A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72596"/>
    <w:rsid w:val="00773EB3"/>
    <w:rsid w:val="00780850"/>
    <w:rsid w:val="00782A3B"/>
    <w:rsid w:val="0078794D"/>
    <w:rsid w:val="00791A29"/>
    <w:rsid w:val="007A647D"/>
    <w:rsid w:val="007C2284"/>
    <w:rsid w:val="007D3AC1"/>
    <w:rsid w:val="007E213F"/>
    <w:rsid w:val="007F1E92"/>
    <w:rsid w:val="007F23B6"/>
    <w:rsid w:val="007F5EBD"/>
    <w:rsid w:val="00803E2F"/>
    <w:rsid w:val="008308F4"/>
    <w:rsid w:val="00841ED2"/>
    <w:rsid w:val="00843DF2"/>
    <w:rsid w:val="008566E7"/>
    <w:rsid w:val="00857C11"/>
    <w:rsid w:val="008646B1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E2CDA"/>
    <w:rsid w:val="008F59A7"/>
    <w:rsid w:val="008F65F8"/>
    <w:rsid w:val="008F69A0"/>
    <w:rsid w:val="008F757E"/>
    <w:rsid w:val="009000DC"/>
    <w:rsid w:val="009052CC"/>
    <w:rsid w:val="0090764B"/>
    <w:rsid w:val="00910CC1"/>
    <w:rsid w:val="00914900"/>
    <w:rsid w:val="00930300"/>
    <w:rsid w:val="00940EC0"/>
    <w:rsid w:val="009450AB"/>
    <w:rsid w:val="0094667D"/>
    <w:rsid w:val="00946AD8"/>
    <w:rsid w:val="00952573"/>
    <w:rsid w:val="00962232"/>
    <w:rsid w:val="00966F60"/>
    <w:rsid w:val="0097075E"/>
    <w:rsid w:val="00984F36"/>
    <w:rsid w:val="00990493"/>
    <w:rsid w:val="00997477"/>
    <w:rsid w:val="009A4049"/>
    <w:rsid w:val="009A56D3"/>
    <w:rsid w:val="009A66A2"/>
    <w:rsid w:val="009B5544"/>
    <w:rsid w:val="009B7F69"/>
    <w:rsid w:val="009C241A"/>
    <w:rsid w:val="009E2D9D"/>
    <w:rsid w:val="009E5140"/>
    <w:rsid w:val="009F14D7"/>
    <w:rsid w:val="009F1832"/>
    <w:rsid w:val="009F1BFD"/>
    <w:rsid w:val="009F3DFD"/>
    <w:rsid w:val="00A13BEA"/>
    <w:rsid w:val="00A14837"/>
    <w:rsid w:val="00A254B2"/>
    <w:rsid w:val="00A34875"/>
    <w:rsid w:val="00A350E1"/>
    <w:rsid w:val="00A45E2E"/>
    <w:rsid w:val="00A501C6"/>
    <w:rsid w:val="00A52BBE"/>
    <w:rsid w:val="00A542C4"/>
    <w:rsid w:val="00A57110"/>
    <w:rsid w:val="00A775AF"/>
    <w:rsid w:val="00A8086B"/>
    <w:rsid w:val="00A8717B"/>
    <w:rsid w:val="00A87817"/>
    <w:rsid w:val="00A939AD"/>
    <w:rsid w:val="00AA1417"/>
    <w:rsid w:val="00AA289C"/>
    <w:rsid w:val="00AA329F"/>
    <w:rsid w:val="00AA5350"/>
    <w:rsid w:val="00AA54C3"/>
    <w:rsid w:val="00AB7CBD"/>
    <w:rsid w:val="00AC568C"/>
    <w:rsid w:val="00AE1C76"/>
    <w:rsid w:val="00AE42EB"/>
    <w:rsid w:val="00AF2141"/>
    <w:rsid w:val="00AF2917"/>
    <w:rsid w:val="00AF6595"/>
    <w:rsid w:val="00AF68F6"/>
    <w:rsid w:val="00B01D20"/>
    <w:rsid w:val="00B139D3"/>
    <w:rsid w:val="00B15CA4"/>
    <w:rsid w:val="00B25E31"/>
    <w:rsid w:val="00B2727E"/>
    <w:rsid w:val="00B3294E"/>
    <w:rsid w:val="00B37EF1"/>
    <w:rsid w:val="00B52341"/>
    <w:rsid w:val="00B53F61"/>
    <w:rsid w:val="00B546B8"/>
    <w:rsid w:val="00B6018C"/>
    <w:rsid w:val="00B6161D"/>
    <w:rsid w:val="00B77393"/>
    <w:rsid w:val="00B8138B"/>
    <w:rsid w:val="00B92B35"/>
    <w:rsid w:val="00BA0F3E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80482"/>
    <w:rsid w:val="00C8052A"/>
    <w:rsid w:val="00C80B43"/>
    <w:rsid w:val="00C84FC4"/>
    <w:rsid w:val="00C869D6"/>
    <w:rsid w:val="00C86CA8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E7B4D"/>
    <w:rsid w:val="00CF69A9"/>
    <w:rsid w:val="00D04A65"/>
    <w:rsid w:val="00D05519"/>
    <w:rsid w:val="00D1364C"/>
    <w:rsid w:val="00D16E64"/>
    <w:rsid w:val="00D2557C"/>
    <w:rsid w:val="00D31272"/>
    <w:rsid w:val="00D4343F"/>
    <w:rsid w:val="00D459A6"/>
    <w:rsid w:val="00D542BB"/>
    <w:rsid w:val="00D61C4F"/>
    <w:rsid w:val="00D662D5"/>
    <w:rsid w:val="00D66D55"/>
    <w:rsid w:val="00D7626D"/>
    <w:rsid w:val="00D76E79"/>
    <w:rsid w:val="00D83461"/>
    <w:rsid w:val="00D87453"/>
    <w:rsid w:val="00D93F14"/>
    <w:rsid w:val="00D95DE4"/>
    <w:rsid w:val="00DA4AC3"/>
    <w:rsid w:val="00DB2C8B"/>
    <w:rsid w:val="00DB2D1B"/>
    <w:rsid w:val="00DB742B"/>
    <w:rsid w:val="00DC1E9E"/>
    <w:rsid w:val="00DC3936"/>
    <w:rsid w:val="00DC4C14"/>
    <w:rsid w:val="00DC6A23"/>
    <w:rsid w:val="00DD39CD"/>
    <w:rsid w:val="00DD57D6"/>
    <w:rsid w:val="00DD6E9E"/>
    <w:rsid w:val="00DE4658"/>
    <w:rsid w:val="00DE47D4"/>
    <w:rsid w:val="00DE6AAE"/>
    <w:rsid w:val="00DE6FFC"/>
    <w:rsid w:val="00E0259E"/>
    <w:rsid w:val="00E33304"/>
    <w:rsid w:val="00E3642E"/>
    <w:rsid w:val="00E36B7F"/>
    <w:rsid w:val="00E36C03"/>
    <w:rsid w:val="00E371E9"/>
    <w:rsid w:val="00E43B5D"/>
    <w:rsid w:val="00E5125F"/>
    <w:rsid w:val="00E54EF2"/>
    <w:rsid w:val="00E5697A"/>
    <w:rsid w:val="00E656CC"/>
    <w:rsid w:val="00E7794A"/>
    <w:rsid w:val="00E83025"/>
    <w:rsid w:val="00E934F8"/>
    <w:rsid w:val="00E9735E"/>
    <w:rsid w:val="00EA7820"/>
    <w:rsid w:val="00EC1FBE"/>
    <w:rsid w:val="00EC2B47"/>
    <w:rsid w:val="00ED5699"/>
    <w:rsid w:val="00EE5BB4"/>
    <w:rsid w:val="00EF2B9C"/>
    <w:rsid w:val="00F02609"/>
    <w:rsid w:val="00F07A78"/>
    <w:rsid w:val="00F1535F"/>
    <w:rsid w:val="00F4552F"/>
    <w:rsid w:val="00F47B06"/>
    <w:rsid w:val="00F5583F"/>
    <w:rsid w:val="00F7045D"/>
    <w:rsid w:val="00F76A88"/>
    <w:rsid w:val="00F77A62"/>
    <w:rsid w:val="00F82C13"/>
    <w:rsid w:val="00F841D7"/>
    <w:rsid w:val="00F8598F"/>
    <w:rsid w:val="00F866D6"/>
    <w:rsid w:val="00FB31AB"/>
    <w:rsid w:val="00FB37B8"/>
    <w:rsid w:val="00FB4ADF"/>
    <w:rsid w:val="00FB5916"/>
    <w:rsid w:val="00FC5140"/>
    <w:rsid w:val="00FC7082"/>
    <w:rsid w:val="00FD6283"/>
    <w:rsid w:val="00FE0E9C"/>
    <w:rsid w:val="00FE1C74"/>
    <w:rsid w:val="00FE2F53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49A275E5-6B46-4C88-8E32-8FA7643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iPriority w:val="99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Acumin Pro" w:hAnsi="Acumin Pro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Yu Gothic Light" w:hAnsi="Yu Gothic Ligh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Acumin Pro" w:hAnsi="Acumin Pro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  <w:style w:type="paragraph" w:styleId="CommentText">
    <w:name w:val="annotation text"/>
    <w:basedOn w:val="Normal"/>
    <w:link w:val="CommentTextChar"/>
    <w:semiHidden/>
    <w:rsid w:val="00705658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705658"/>
    <w:rPr>
      <w:rFonts w:ascii="Times New Roman" w:eastAsia="Times New Roman" w:hAnsi="Times New Roman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NZ" sz="1000"/>
            <a:t>ML Production Manager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AE78E3E7-3EAF-4AFC-B98B-25117993F663}">
      <dgm:prSet phldrT="[Text]" custT="1"/>
      <dgm:spPr/>
      <dgm:t>
        <a:bodyPr/>
        <a:lstStyle/>
        <a:p>
          <a:r>
            <a:rPr lang="en-NZ" sz="1000"/>
            <a:t>ML Cellar &amp; Lab Team Leader	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886F85A1-BF51-4322-A626-72E72D2BF46F}">
      <dgm:prSet phldrT="[Text]" custT="1"/>
      <dgm:spPr/>
      <dgm:t>
        <a:bodyPr/>
        <a:lstStyle/>
        <a:p>
          <a:r>
            <a:rPr lang="en-NZ" sz="1000"/>
            <a:t>ML Lab Tech (7)</a:t>
          </a:r>
        </a:p>
      </dgm:t>
    </dgm:pt>
    <dgm:pt modelId="{41A6E1E9-BA12-419D-91A6-EB7E6335BCC9}" type="parTrans" cxnId="{56057C06-039E-49D5-940B-04E6D0C2F1FB}">
      <dgm:prSet/>
      <dgm:spPr/>
      <dgm:t>
        <a:bodyPr/>
        <a:lstStyle/>
        <a:p>
          <a:endParaRPr lang="en-NZ"/>
        </a:p>
      </dgm:t>
    </dgm:pt>
    <dgm:pt modelId="{E62F8A80-3768-45A7-B533-73ACD9C773A2}" type="sibTrans" cxnId="{56057C06-039E-49D5-940B-04E6D0C2F1FB}">
      <dgm:prSet/>
      <dgm:spPr/>
      <dgm:t>
        <a:bodyPr/>
        <a:lstStyle/>
        <a:p>
          <a:endParaRPr lang="en-NZ"/>
        </a:p>
      </dgm:t>
    </dgm:pt>
    <dgm:pt modelId="{4A44692E-5C8B-4EE9-BB39-2EE0BE2BCF08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ML Cellar Team Member (7)</a:t>
          </a:r>
        </a:p>
      </dgm:t>
    </dgm:pt>
    <dgm:pt modelId="{CEC9044A-E1FF-4B66-94D1-8FDA85AA3E29}" type="parTrans" cxnId="{B6F7F12F-E511-4A22-A4F2-11136BC0719A}">
      <dgm:prSet/>
      <dgm:spPr/>
      <dgm:t>
        <a:bodyPr/>
        <a:lstStyle/>
        <a:p>
          <a:endParaRPr lang="en-NZ"/>
        </a:p>
      </dgm:t>
    </dgm:pt>
    <dgm:pt modelId="{45742D76-19AA-40B8-BA89-3DC1375AEA17}" type="sibTrans" cxnId="{B6F7F12F-E511-4A22-A4F2-11136BC0719A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D8938BCA-C9CB-4EE7-B1D2-8EAE5F74E189}" type="pres">
      <dgm:prSet presAssocID="{09AFFFA0-688B-4759-AFB6-FD521304EE8D}" presName="Name37" presStyleLbl="parChTrans1D2" presStyleIdx="0" presStyleCnt="1"/>
      <dgm:spPr/>
    </dgm:pt>
    <dgm:pt modelId="{8D98B6F1-8A9A-4398-A8C2-344F7C8995D5}" type="pres">
      <dgm:prSet presAssocID="{AE78E3E7-3EAF-4AFC-B98B-25117993F663}" presName="hierRoot2" presStyleCnt="0">
        <dgm:presLayoutVars>
          <dgm:hierBranch val="init"/>
        </dgm:presLayoutVars>
      </dgm:prSet>
      <dgm:spPr/>
    </dgm:pt>
    <dgm:pt modelId="{49CAD7A3-1643-48B2-A943-50F00E09FF11}" type="pres">
      <dgm:prSet presAssocID="{AE78E3E7-3EAF-4AFC-B98B-25117993F663}" presName="rootComposite" presStyleCnt="0"/>
      <dgm:spPr/>
    </dgm:pt>
    <dgm:pt modelId="{95D5A770-E234-4ED6-AF66-EE17EE47CE58}" type="pres">
      <dgm:prSet presAssocID="{AE78E3E7-3EAF-4AFC-B98B-25117993F663}" presName="rootText" presStyleLbl="node2" presStyleIdx="0" presStyleCnt="1">
        <dgm:presLayoutVars>
          <dgm:chPref val="3"/>
        </dgm:presLayoutVars>
      </dgm:prSet>
      <dgm:spPr/>
    </dgm:pt>
    <dgm:pt modelId="{AAE9DF6C-30ED-417B-B554-E6FBE5806695}" type="pres">
      <dgm:prSet presAssocID="{AE78E3E7-3EAF-4AFC-B98B-25117993F663}" presName="rootConnector" presStyleLbl="node2" presStyleIdx="0" presStyleCnt="1"/>
      <dgm:spPr/>
    </dgm:pt>
    <dgm:pt modelId="{5D634AF3-1E60-4CB9-A133-8D0840891A07}" type="pres">
      <dgm:prSet presAssocID="{AE78E3E7-3EAF-4AFC-B98B-25117993F663}" presName="hierChild4" presStyleCnt="0"/>
      <dgm:spPr/>
    </dgm:pt>
    <dgm:pt modelId="{A9DB0B5C-C0D2-46AF-91C9-25E2C1ED459C}" type="pres">
      <dgm:prSet presAssocID="{41A6E1E9-BA12-419D-91A6-EB7E6335BCC9}" presName="Name37" presStyleLbl="parChTrans1D3" presStyleIdx="0" presStyleCnt="2"/>
      <dgm:spPr/>
    </dgm:pt>
    <dgm:pt modelId="{1898AD41-1042-42A7-94AB-65FF8795C898}" type="pres">
      <dgm:prSet presAssocID="{886F85A1-BF51-4322-A626-72E72D2BF46F}" presName="hierRoot2" presStyleCnt="0">
        <dgm:presLayoutVars>
          <dgm:hierBranch val="init"/>
        </dgm:presLayoutVars>
      </dgm:prSet>
      <dgm:spPr/>
    </dgm:pt>
    <dgm:pt modelId="{0DCA9F63-525E-4C4B-BD51-AE14B90BDD1F}" type="pres">
      <dgm:prSet presAssocID="{886F85A1-BF51-4322-A626-72E72D2BF46F}" presName="rootComposite" presStyleCnt="0"/>
      <dgm:spPr/>
    </dgm:pt>
    <dgm:pt modelId="{CBFB5A60-A3FE-41FF-A75A-04F1F4DC9AB4}" type="pres">
      <dgm:prSet presAssocID="{886F85A1-BF51-4322-A626-72E72D2BF46F}" presName="rootText" presStyleLbl="node3" presStyleIdx="0" presStyleCnt="2">
        <dgm:presLayoutVars>
          <dgm:chPref val="3"/>
        </dgm:presLayoutVars>
      </dgm:prSet>
      <dgm:spPr/>
    </dgm:pt>
    <dgm:pt modelId="{DAC076CA-F35F-461A-8657-E414CF3325E2}" type="pres">
      <dgm:prSet presAssocID="{886F85A1-BF51-4322-A626-72E72D2BF46F}" presName="rootConnector" presStyleLbl="node3" presStyleIdx="0" presStyleCnt="2"/>
      <dgm:spPr/>
    </dgm:pt>
    <dgm:pt modelId="{E395034A-8A6E-4DF3-992E-F00C13CFFDC3}" type="pres">
      <dgm:prSet presAssocID="{886F85A1-BF51-4322-A626-72E72D2BF46F}" presName="hierChild4" presStyleCnt="0"/>
      <dgm:spPr/>
    </dgm:pt>
    <dgm:pt modelId="{A5716015-182B-4780-911A-CEECA44BEF2E}" type="pres">
      <dgm:prSet presAssocID="{886F85A1-BF51-4322-A626-72E72D2BF46F}" presName="hierChild5" presStyleCnt="0"/>
      <dgm:spPr/>
    </dgm:pt>
    <dgm:pt modelId="{7E1F1414-3774-49DA-A28E-1D3FAECB7FA3}" type="pres">
      <dgm:prSet presAssocID="{CEC9044A-E1FF-4B66-94D1-8FDA85AA3E29}" presName="Name37" presStyleLbl="parChTrans1D3" presStyleIdx="1" presStyleCnt="2"/>
      <dgm:spPr/>
    </dgm:pt>
    <dgm:pt modelId="{2177FF5F-E259-4DD3-90B9-11EFCEA0F18F}" type="pres">
      <dgm:prSet presAssocID="{4A44692E-5C8B-4EE9-BB39-2EE0BE2BCF08}" presName="hierRoot2" presStyleCnt="0">
        <dgm:presLayoutVars>
          <dgm:hierBranch val="init"/>
        </dgm:presLayoutVars>
      </dgm:prSet>
      <dgm:spPr/>
    </dgm:pt>
    <dgm:pt modelId="{927BBB79-5985-4C59-AB8A-753ACB543BC8}" type="pres">
      <dgm:prSet presAssocID="{4A44692E-5C8B-4EE9-BB39-2EE0BE2BCF08}" presName="rootComposite" presStyleCnt="0"/>
      <dgm:spPr/>
    </dgm:pt>
    <dgm:pt modelId="{4A8E4895-3DDD-4C46-8037-370CA6B586C7}" type="pres">
      <dgm:prSet presAssocID="{4A44692E-5C8B-4EE9-BB39-2EE0BE2BCF08}" presName="rootText" presStyleLbl="node3" presStyleIdx="1" presStyleCnt="2">
        <dgm:presLayoutVars>
          <dgm:chPref val="3"/>
        </dgm:presLayoutVars>
      </dgm:prSet>
      <dgm:spPr/>
    </dgm:pt>
    <dgm:pt modelId="{660CBBC0-6C8E-4F91-B71D-B2C4386B5CF7}" type="pres">
      <dgm:prSet presAssocID="{4A44692E-5C8B-4EE9-BB39-2EE0BE2BCF08}" presName="rootConnector" presStyleLbl="node3" presStyleIdx="1" presStyleCnt="2"/>
      <dgm:spPr/>
    </dgm:pt>
    <dgm:pt modelId="{A3F7B38B-826E-4ABD-8FBC-84605AF9D695}" type="pres">
      <dgm:prSet presAssocID="{4A44692E-5C8B-4EE9-BB39-2EE0BE2BCF08}" presName="hierChild4" presStyleCnt="0"/>
      <dgm:spPr/>
    </dgm:pt>
    <dgm:pt modelId="{31C1753C-9CAD-470C-A835-ABFB883ECBA4}" type="pres">
      <dgm:prSet presAssocID="{4A44692E-5C8B-4EE9-BB39-2EE0BE2BCF08}" presName="hierChild5" presStyleCnt="0"/>
      <dgm:spPr/>
    </dgm:pt>
    <dgm:pt modelId="{75D9C2EB-C439-439D-85E3-A1CBF9BBE38E}" type="pres">
      <dgm:prSet presAssocID="{AE78E3E7-3EAF-4AFC-B98B-25117993F663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56057C06-039E-49D5-940B-04E6D0C2F1FB}" srcId="{AE78E3E7-3EAF-4AFC-B98B-25117993F663}" destId="{886F85A1-BF51-4322-A626-72E72D2BF46F}" srcOrd="0" destOrd="0" parTransId="{41A6E1E9-BA12-419D-91A6-EB7E6335BCC9}" sibTransId="{E62F8A80-3768-45A7-B533-73ACD9C773A2}"/>
    <dgm:cxn modelId="{02291E11-8557-44C3-8436-02801AD0266A}" type="presOf" srcId="{AE78E3E7-3EAF-4AFC-B98B-25117993F663}" destId="{AAE9DF6C-30ED-417B-B554-E6FBE5806695}" srcOrd="1" destOrd="0" presId="urn:microsoft.com/office/officeart/2005/8/layout/orgChart1"/>
    <dgm:cxn modelId="{B6F7F12F-E511-4A22-A4F2-11136BC0719A}" srcId="{AE78E3E7-3EAF-4AFC-B98B-25117993F663}" destId="{4A44692E-5C8B-4EE9-BB39-2EE0BE2BCF08}" srcOrd="1" destOrd="0" parTransId="{CEC9044A-E1FF-4B66-94D1-8FDA85AA3E29}" sibTransId="{45742D76-19AA-40B8-BA89-3DC1375AEA17}"/>
    <dgm:cxn modelId="{DDF0733C-80DC-4B18-99A5-DB3983E339D5}" type="presOf" srcId="{4A44692E-5C8B-4EE9-BB39-2EE0BE2BCF08}" destId="{4A8E4895-3DDD-4C46-8037-370CA6B586C7}" srcOrd="0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2EC89B51-8589-4668-B084-DF14A04FACA3}" type="presOf" srcId="{41A6E1E9-BA12-419D-91A6-EB7E6335BCC9}" destId="{A9DB0B5C-C0D2-46AF-91C9-25E2C1ED459C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0D7D9A78-4133-49B9-A7A5-B9206A10DF25}" type="presOf" srcId="{886F85A1-BF51-4322-A626-72E72D2BF46F}" destId="{DAC076CA-F35F-461A-8657-E414CF3325E2}" srcOrd="1" destOrd="0" presId="urn:microsoft.com/office/officeart/2005/8/layout/orgChart1"/>
    <dgm:cxn modelId="{DC86C378-EDA3-4C3F-AABE-FBFCB05B918C}" type="presOf" srcId="{AE78E3E7-3EAF-4AFC-B98B-25117993F663}" destId="{95D5A770-E234-4ED6-AF66-EE17EE47CE58}" srcOrd="0" destOrd="0" presId="urn:microsoft.com/office/officeart/2005/8/layout/orgChart1"/>
    <dgm:cxn modelId="{2EE24881-D4E4-4803-8ECE-9CAA63A17183}" srcId="{9217B13F-1A0C-45B0-A1FD-539B7E1ABD76}" destId="{AE78E3E7-3EAF-4AFC-B98B-25117993F663}" srcOrd="0" destOrd="0" parTransId="{09AFFFA0-688B-4759-AFB6-FD521304EE8D}" sibTransId="{A43CFD02-D24F-4A6D-B6FC-4C7450638167}"/>
    <dgm:cxn modelId="{BC886F8E-8D23-497E-A555-72B351691E59}" type="presOf" srcId="{4A44692E-5C8B-4EE9-BB39-2EE0BE2BCF08}" destId="{660CBBC0-6C8E-4F91-B71D-B2C4386B5CF7}" srcOrd="1" destOrd="0" presId="urn:microsoft.com/office/officeart/2005/8/layout/orgChart1"/>
    <dgm:cxn modelId="{A4A72299-145D-4C48-8550-E2DB88B88A7A}" type="presOf" srcId="{886F85A1-BF51-4322-A626-72E72D2BF46F}" destId="{CBFB5A60-A3FE-41FF-A75A-04F1F4DC9AB4}" srcOrd="0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E24864CF-E761-4E27-9318-2FFC049ED6AD}" type="presOf" srcId="{CEC9044A-E1FF-4B66-94D1-8FDA85AA3E29}" destId="{7E1F1414-3774-49DA-A28E-1D3FAECB7FA3}" srcOrd="0" destOrd="0" presId="urn:microsoft.com/office/officeart/2005/8/layout/orgChart1"/>
    <dgm:cxn modelId="{284F6EE7-316F-4EE9-925A-55361997EBDC}" type="presOf" srcId="{09AFFFA0-688B-4759-AFB6-FD521304EE8D}" destId="{D8938BCA-C9CB-4EE7-B1D2-8EAE5F74E189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029660D4-3204-414B-936F-82BA6030FB59}" type="presParOf" srcId="{C6D35805-390C-4EEE-B97F-9B4AC011B56E}" destId="{D8938BCA-C9CB-4EE7-B1D2-8EAE5F74E189}" srcOrd="0" destOrd="0" presId="urn:microsoft.com/office/officeart/2005/8/layout/orgChart1"/>
    <dgm:cxn modelId="{09227618-74BE-4318-AAD5-75A3F4B354DE}" type="presParOf" srcId="{C6D35805-390C-4EEE-B97F-9B4AC011B56E}" destId="{8D98B6F1-8A9A-4398-A8C2-344F7C8995D5}" srcOrd="1" destOrd="0" presId="urn:microsoft.com/office/officeart/2005/8/layout/orgChart1"/>
    <dgm:cxn modelId="{E802B0C5-51C0-462F-ACD8-FE08CB2E695C}" type="presParOf" srcId="{8D98B6F1-8A9A-4398-A8C2-344F7C8995D5}" destId="{49CAD7A3-1643-48B2-A943-50F00E09FF11}" srcOrd="0" destOrd="0" presId="urn:microsoft.com/office/officeart/2005/8/layout/orgChart1"/>
    <dgm:cxn modelId="{10776539-465E-4E97-8E07-6A1DA5F19417}" type="presParOf" srcId="{49CAD7A3-1643-48B2-A943-50F00E09FF11}" destId="{95D5A770-E234-4ED6-AF66-EE17EE47CE58}" srcOrd="0" destOrd="0" presId="urn:microsoft.com/office/officeart/2005/8/layout/orgChart1"/>
    <dgm:cxn modelId="{D6CD5062-6386-4321-961B-A649E2BFF481}" type="presParOf" srcId="{49CAD7A3-1643-48B2-A943-50F00E09FF11}" destId="{AAE9DF6C-30ED-417B-B554-E6FBE5806695}" srcOrd="1" destOrd="0" presId="urn:microsoft.com/office/officeart/2005/8/layout/orgChart1"/>
    <dgm:cxn modelId="{9A02F3C2-1B00-478A-9CF7-881F15BBB99C}" type="presParOf" srcId="{8D98B6F1-8A9A-4398-A8C2-344F7C8995D5}" destId="{5D634AF3-1E60-4CB9-A133-8D0840891A07}" srcOrd="1" destOrd="0" presId="urn:microsoft.com/office/officeart/2005/8/layout/orgChart1"/>
    <dgm:cxn modelId="{468830F4-8C7A-49EE-905B-3AFC8EE993A5}" type="presParOf" srcId="{5D634AF3-1E60-4CB9-A133-8D0840891A07}" destId="{A9DB0B5C-C0D2-46AF-91C9-25E2C1ED459C}" srcOrd="0" destOrd="0" presId="urn:microsoft.com/office/officeart/2005/8/layout/orgChart1"/>
    <dgm:cxn modelId="{0CDF6876-E0F7-4921-8B2E-CB7FD2B98238}" type="presParOf" srcId="{5D634AF3-1E60-4CB9-A133-8D0840891A07}" destId="{1898AD41-1042-42A7-94AB-65FF8795C898}" srcOrd="1" destOrd="0" presId="urn:microsoft.com/office/officeart/2005/8/layout/orgChart1"/>
    <dgm:cxn modelId="{165327A6-8FAA-4C9F-980B-A9BB806BB3CA}" type="presParOf" srcId="{1898AD41-1042-42A7-94AB-65FF8795C898}" destId="{0DCA9F63-525E-4C4B-BD51-AE14B90BDD1F}" srcOrd="0" destOrd="0" presId="urn:microsoft.com/office/officeart/2005/8/layout/orgChart1"/>
    <dgm:cxn modelId="{8A416223-9021-4CA1-9DD0-951F79CD9E60}" type="presParOf" srcId="{0DCA9F63-525E-4C4B-BD51-AE14B90BDD1F}" destId="{CBFB5A60-A3FE-41FF-A75A-04F1F4DC9AB4}" srcOrd="0" destOrd="0" presId="urn:microsoft.com/office/officeart/2005/8/layout/orgChart1"/>
    <dgm:cxn modelId="{57D9C9D5-16A1-451A-A043-C64B337ECBD9}" type="presParOf" srcId="{0DCA9F63-525E-4C4B-BD51-AE14B90BDD1F}" destId="{DAC076CA-F35F-461A-8657-E414CF3325E2}" srcOrd="1" destOrd="0" presId="urn:microsoft.com/office/officeart/2005/8/layout/orgChart1"/>
    <dgm:cxn modelId="{D6486A04-9BD9-49EE-A249-88790FB2BC3B}" type="presParOf" srcId="{1898AD41-1042-42A7-94AB-65FF8795C898}" destId="{E395034A-8A6E-4DF3-992E-F00C13CFFDC3}" srcOrd="1" destOrd="0" presId="urn:microsoft.com/office/officeart/2005/8/layout/orgChart1"/>
    <dgm:cxn modelId="{3A88A4D0-3947-485E-B0B1-677C5DD7AAF0}" type="presParOf" srcId="{1898AD41-1042-42A7-94AB-65FF8795C898}" destId="{A5716015-182B-4780-911A-CEECA44BEF2E}" srcOrd="2" destOrd="0" presId="urn:microsoft.com/office/officeart/2005/8/layout/orgChart1"/>
    <dgm:cxn modelId="{42582D0D-6188-4BE8-A41D-0552B3D215F3}" type="presParOf" srcId="{5D634AF3-1E60-4CB9-A133-8D0840891A07}" destId="{7E1F1414-3774-49DA-A28E-1D3FAECB7FA3}" srcOrd="2" destOrd="0" presId="urn:microsoft.com/office/officeart/2005/8/layout/orgChart1"/>
    <dgm:cxn modelId="{91F291E6-A406-452C-83C1-F7100C31FD62}" type="presParOf" srcId="{5D634AF3-1E60-4CB9-A133-8D0840891A07}" destId="{2177FF5F-E259-4DD3-90B9-11EFCEA0F18F}" srcOrd="3" destOrd="0" presId="urn:microsoft.com/office/officeart/2005/8/layout/orgChart1"/>
    <dgm:cxn modelId="{57CF8591-12AF-4B5B-A314-1FC57C4B2B91}" type="presParOf" srcId="{2177FF5F-E259-4DD3-90B9-11EFCEA0F18F}" destId="{927BBB79-5985-4C59-AB8A-753ACB543BC8}" srcOrd="0" destOrd="0" presId="urn:microsoft.com/office/officeart/2005/8/layout/orgChart1"/>
    <dgm:cxn modelId="{638DB800-3D67-40DE-893C-30E99A4F66FF}" type="presParOf" srcId="{927BBB79-5985-4C59-AB8A-753ACB543BC8}" destId="{4A8E4895-3DDD-4C46-8037-370CA6B586C7}" srcOrd="0" destOrd="0" presId="urn:microsoft.com/office/officeart/2005/8/layout/orgChart1"/>
    <dgm:cxn modelId="{A8700C32-5FE0-41C1-9DD9-9FC245416562}" type="presParOf" srcId="{927BBB79-5985-4C59-AB8A-753ACB543BC8}" destId="{660CBBC0-6C8E-4F91-B71D-B2C4386B5CF7}" srcOrd="1" destOrd="0" presId="urn:microsoft.com/office/officeart/2005/8/layout/orgChart1"/>
    <dgm:cxn modelId="{77A8F791-6924-4039-A25E-4CDF308C9E5A}" type="presParOf" srcId="{2177FF5F-E259-4DD3-90B9-11EFCEA0F18F}" destId="{A3F7B38B-826E-4ABD-8FBC-84605AF9D695}" srcOrd="1" destOrd="0" presId="urn:microsoft.com/office/officeart/2005/8/layout/orgChart1"/>
    <dgm:cxn modelId="{04BFE7CF-5571-499D-819E-B89B28DA54D2}" type="presParOf" srcId="{2177FF5F-E259-4DD3-90B9-11EFCEA0F18F}" destId="{31C1753C-9CAD-470C-A835-ABFB883ECBA4}" srcOrd="2" destOrd="0" presId="urn:microsoft.com/office/officeart/2005/8/layout/orgChart1"/>
    <dgm:cxn modelId="{CF77CE85-292B-4329-A11F-70AFEDCF500D}" type="presParOf" srcId="{8D98B6F1-8A9A-4398-A8C2-344F7C8995D5}" destId="{75D9C2EB-C439-439D-85E3-A1CBF9BBE38E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1F1414-3774-49DA-A28E-1D3FAECB7FA3}">
      <dsp:nvSpPr>
        <dsp:cNvPr id="0" name=""/>
        <dsp:cNvSpPr/>
      </dsp:nvSpPr>
      <dsp:spPr>
        <a:xfrm>
          <a:off x="2463125" y="1205857"/>
          <a:ext cx="149236" cy="1164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042"/>
              </a:lnTo>
              <a:lnTo>
                <a:pt x="149236" y="116404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DB0B5C-C0D2-46AF-91C9-25E2C1ED459C}">
      <dsp:nvSpPr>
        <dsp:cNvPr id="0" name=""/>
        <dsp:cNvSpPr/>
      </dsp:nvSpPr>
      <dsp:spPr>
        <a:xfrm>
          <a:off x="2463125" y="1205857"/>
          <a:ext cx="149236" cy="45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657"/>
              </a:lnTo>
              <a:lnTo>
                <a:pt x="149236" y="45765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8BCA-C9CB-4EE7-B1D2-8EAE5F74E189}">
      <dsp:nvSpPr>
        <dsp:cNvPr id="0" name=""/>
        <dsp:cNvSpPr/>
      </dsp:nvSpPr>
      <dsp:spPr>
        <a:xfrm>
          <a:off x="2785780" y="497453"/>
          <a:ext cx="91440" cy="2109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483"/>
              </a:lnTo>
              <a:lnTo>
                <a:pt x="75308" y="106483"/>
              </a:lnTo>
              <a:lnTo>
                <a:pt x="75308" y="210949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2334046" y="0"/>
          <a:ext cx="994907" cy="497453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Production Manager</a:t>
          </a:r>
        </a:p>
      </dsp:txBody>
      <dsp:txXfrm>
        <a:off x="2334046" y="0"/>
        <a:ext cx="994907" cy="497453"/>
      </dsp:txXfrm>
    </dsp:sp>
    <dsp:sp modelId="{95D5A770-E234-4ED6-AF66-EE17EE47CE58}">
      <dsp:nvSpPr>
        <dsp:cNvPr id="0" name=""/>
        <dsp:cNvSpPr/>
      </dsp:nvSpPr>
      <dsp:spPr>
        <a:xfrm>
          <a:off x="2363635" y="708403"/>
          <a:ext cx="994907" cy="497453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Cellar &amp; Lab Team Leader	</a:t>
          </a:r>
        </a:p>
      </dsp:txBody>
      <dsp:txXfrm>
        <a:off x="2363635" y="708403"/>
        <a:ext cx="994907" cy="497453"/>
      </dsp:txXfrm>
    </dsp:sp>
    <dsp:sp modelId="{CBFB5A60-A3FE-41FF-A75A-04F1F4DC9AB4}">
      <dsp:nvSpPr>
        <dsp:cNvPr id="0" name=""/>
        <dsp:cNvSpPr/>
      </dsp:nvSpPr>
      <dsp:spPr>
        <a:xfrm>
          <a:off x="2612362" y="1414787"/>
          <a:ext cx="994907" cy="497453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ML Lab Tech (7)</a:t>
          </a:r>
        </a:p>
      </dsp:txBody>
      <dsp:txXfrm>
        <a:off x="2612362" y="1414787"/>
        <a:ext cx="994907" cy="497453"/>
      </dsp:txXfrm>
    </dsp:sp>
    <dsp:sp modelId="{4A8E4895-3DDD-4C46-8037-370CA6B586C7}">
      <dsp:nvSpPr>
        <dsp:cNvPr id="0" name=""/>
        <dsp:cNvSpPr/>
      </dsp:nvSpPr>
      <dsp:spPr>
        <a:xfrm>
          <a:off x="2612362" y="2121172"/>
          <a:ext cx="994907" cy="497453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ML Cellar Team Member (7)</a:t>
          </a:r>
        </a:p>
      </dsp:txBody>
      <dsp:txXfrm>
        <a:off x="2612362" y="2121172"/>
        <a:ext cx="994907" cy="497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VJRNWZSEHSKA-1762204766-982</_dlc_DocId>
    <_dlc_DocIdUrl xmlns="a77a3981-cc5e-4c0f-b532-caace0c133c7">
      <Url>https://wineworksgroup.sharepoint.com/OurTeam/_layouts/15/DocIdRedir.aspx?ID=VJRNWZSEHSKA-1762204766-982</Url>
      <Description>VJRNWZSEHSKA-1762204766-982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47F225-7FA2-4EE9-9CDF-5FF52569AD3F}">
  <ds:schemaRefs>
    <ds:schemaRef ds:uri="http://schemas.microsoft.com/office/2006/metadata/properties"/>
    <ds:schemaRef ds:uri="http://schemas.microsoft.com/office/infopath/2007/PartnerControls"/>
    <ds:schemaRef ds:uri="a77a3981-cc5e-4c0f-b532-caace0c13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76</TotalTime>
  <Pages>3</Pages>
  <Words>922</Words>
  <Characters>4473</Characters>
  <Application>Microsoft Office Word</Application>
  <DocSecurity>0</DocSecurity>
  <Lines>178</Lines>
  <Paragraphs>79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Lizzie Keats (WineWorks Marlborough)</cp:lastModifiedBy>
  <cp:revision>32</cp:revision>
  <cp:lastPrinted>2023-02-28T22:44:00Z</cp:lastPrinted>
  <dcterms:created xsi:type="dcterms:W3CDTF">2024-01-21T22:57:00Z</dcterms:created>
  <dcterms:modified xsi:type="dcterms:W3CDTF">2025-07-18T01:41:00Z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72f70562-efb7-4b3e-8c27-1da46e165c64</vt:lpwstr>
  </property>
</Properties>
</file>