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Look w:val="04A0" w:firstRow="1" w:lastRow="0" w:firstColumn="1" w:lastColumn="0" w:noHBand="0" w:noVBand="1"/>
      </w:tblPr>
      <w:tblGrid>
        <w:gridCol w:w="2835"/>
        <w:gridCol w:w="7371"/>
      </w:tblGrid>
      <w:tr w:rsidR="0036132D" w14:paraId="33428BE2" w14:textId="77777777" w:rsidTr="001B002C">
        <w:tc>
          <w:tcPr>
            <w:tcW w:w="283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81C2103" w14:textId="77777777" w:rsidR="0036132D" w:rsidRDefault="0036132D">
            <w:pPr>
              <w:spacing w:before="120" w:after="120" w:line="240" w:lineRule="auto"/>
              <w:ind w:left="34"/>
              <w:rPr>
                <w:rFonts w:ascii="Arial" w:hAnsi="Arial" w:cs="Arial"/>
                <w:b/>
                <w:color w:val="FFFFFF" w:themeColor="background1"/>
              </w:rPr>
            </w:pPr>
            <w:r>
              <w:rPr>
                <w:rFonts w:ascii="Arial" w:hAnsi="Arial" w:cs="Arial"/>
                <w:b/>
                <w:sz w:val="28"/>
                <w:szCs w:val="28"/>
              </w:rPr>
              <w:br w:type="page"/>
            </w:r>
            <w:r>
              <w:rPr>
                <w:rFonts w:ascii="Arial" w:hAnsi="Arial" w:cs="Arial"/>
                <w:b/>
                <w:color w:val="FFFFFF" w:themeColor="background1"/>
              </w:rPr>
              <w:t>POSITION TITLE</w:t>
            </w:r>
          </w:p>
        </w:tc>
        <w:tc>
          <w:tcPr>
            <w:tcW w:w="7371" w:type="dxa"/>
            <w:tcBorders>
              <w:top w:val="single" w:sz="4" w:space="0" w:color="auto"/>
              <w:left w:val="single" w:sz="4" w:space="0" w:color="auto"/>
              <w:bottom w:val="single" w:sz="4" w:space="0" w:color="auto"/>
              <w:right w:val="single" w:sz="4" w:space="0" w:color="auto"/>
            </w:tcBorders>
            <w:hideMark/>
          </w:tcPr>
          <w:p w14:paraId="0A2B1EA0" w14:textId="258B7F7F" w:rsidR="0036132D" w:rsidRDefault="0036132D">
            <w:pPr>
              <w:spacing w:before="120" w:after="120" w:line="240" w:lineRule="auto"/>
              <w:rPr>
                <w:rFonts w:ascii="Arial" w:hAnsi="Arial" w:cs="Arial"/>
                <w:sz w:val="20"/>
              </w:rPr>
            </w:pPr>
            <w:r>
              <w:rPr>
                <w:rFonts w:ascii="Arial" w:hAnsi="Arial" w:cs="Arial"/>
                <w:sz w:val="20"/>
              </w:rPr>
              <w:t>Finance &amp; Administration Manager</w:t>
            </w:r>
          </w:p>
        </w:tc>
      </w:tr>
      <w:tr w:rsidR="0036132D" w14:paraId="660428B9" w14:textId="77777777" w:rsidTr="001B002C">
        <w:tc>
          <w:tcPr>
            <w:tcW w:w="283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AFD39F1" w14:textId="77777777" w:rsidR="0036132D" w:rsidRDefault="0036132D">
            <w:pPr>
              <w:spacing w:before="120" w:after="120" w:line="240" w:lineRule="auto"/>
              <w:ind w:left="34"/>
              <w:rPr>
                <w:rFonts w:ascii="Arial" w:hAnsi="Arial" w:cs="Arial"/>
                <w:b/>
                <w:color w:val="FFFFFF" w:themeColor="background1"/>
              </w:rPr>
            </w:pPr>
            <w:r>
              <w:rPr>
                <w:rFonts w:ascii="Arial" w:hAnsi="Arial" w:cs="Arial"/>
                <w:b/>
                <w:color w:val="FFFFFF" w:themeColor="background1"/>
              </w:rPr>
              <w:t>POSITION TYPE</w:t>
            </w:r>
          </w:p>
        </w:tc>
        <w:tc>
          <w:tcPr>
            <w:tcW w:w="7371" w:type="dxa"/>
            <w:tcBorders>
              <w:top w:val="single" w:sz="4" w:space="0" w:color="auto"/>
              <w:left w:val="single" w:sz="4" w:space="0" w:color="auto"/>
              <w:bottom w:val="single" w:sz="4" w:space="0" w:color="auto"/>
              <w:right w:val="single" w:sz="4" w:space="0" w:color="auto"/>
            </w:tcBorders>
            <w:hideMark/>
          </w:tcPr>
          <w:p w14:paraId="7FA4880C" w14:textId="2B865D2B" w:rsidR="0036132D" w:rsidRDefault="00171090">
            <w:pPr>
              <w:spacing w:before="120" w:after="120" w:line="240" w:lineRule="auto"/>
              <w:rPr>
                <w:rFonts w:ascii="Arial" w:hAnsi="Arial" w:cs="Arial"/>
                <w:sz w:val="20"/>
              </w:rPr>
            </w:pPr>
            <w:r>
              <w:rPr>
                <w:rFonts w:ascii="Arial" w:hAnsi="Arial" w:cs="Arial"/>
                <w:sz w:val="20"/>
              </w:rPr>
              <w:t>Permanent, Part-time</w:t>
            </w:r>
          </w:p>
        </w:tc>
      </w:tr>
      <w:tr w:rsidR="0036132D" w14:paraId="152FAC45" w14:textId="77777777" w:rsidTr="001B002C">
        <w:tc>
          <w:tcPr>
            <w:tcW w:w="283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89B1E7E" w14:textId="77777777" w:rsidR="0036132D" w:rsidRDefault="0036132D">
            <w:pPr>
              <w:spacing w:before="120" w:after="120" w:line="240" w:lineRule="auto"/>
              <w:ind w:left="34"/>
              <w:rPr>
                <w:rFonts w:ascii="Arial" w:hAnsi="Arial" w:cs="Arial"/>
                <w:b/>
                <w:color w:val="FFFFFF" w:themeColor="background1"/>
              </w:rPr>
            </w:pPr>
            <w:r>
              <w:rPr>
                <w:rFonts w:ascii="Arial" w:hAnsi="Arial" w:cs="Arial"/>
                <w:b/>
                <w:color w:val="FFFFFF" w:themeColor="background1"/>
              </w:rPr>
              <w:t>REPORTS TO</w:t>
            </w:r>
          </w:p>
        </w:tc>
        <w:tc>
          <w:tcPr>
            <w:tcW w:w="7371" w:type="dxa"/>
            <w:tcBorders>
              <w:top w:val="single" w:sz="4" w:space="0" w:color="auto"/>
              <w:left w:val="single" w:sz="4" w:space="0" w:color="auto"/>
              <w:bottom w:val="single" w:sz="4" w:space="0" w:color="auto"/>
              <w:right w:val="single" w:sz="4" w:space="0" w:color="auto"/>
            </w:tcBorders>
            <w:hideMark/>
          </w:tcPr>
          <w:p w14:paraId="01EDA716" w14:textId="3F9008E9" w:rsidR="0036132D" w:rsidRDefault="00171090">
            <w:pPr>
              <w:spacing w:before="120" w:after="120" w:line="240" w:lineRule="auto"/>
              <w:rPr>
                <w:rFonts w:ascii="Arial" w:hAnsi="Arial" w:cs="Arial"/>
                <w:sz w:val="20"/>
              </w:rPr>
            </w:pPr>
            <w:r>
              <w:rPr>
                <w:rFonts w:ascii="Arial" w:hAnsi="Arial" w:cs="Arial"/>
                <w:sz w:val="20"/>
              </w:rPr>
              <w:t>CEO</w:t>
            </w:r>
          </w:p>
        </w:tc>
      </w:tr>
      <w:tr w:rsidR="00E17903" w14:paraId="5FDB9F05" w14:textId="77777777" w:rsidTr="001B002C">
        <w:tc>
          <w:tcPr>
            <w:tcW w:w="2835"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AA81E6F" w14:textId="2F159097" w:rsidR="00E17903" w:rsidRDefault="00E17903">
            <w:pPr>
              <w:spacing w:before="120" w:after="120" w:line="240" w:lineRule="auto"/>
              <w:ind w:left="34"/>
              <w:rPr>
                <w:rFonts w:ascii="Arial" w:hAnsi="Arial" w:cs="Arial"/>
                <w:b/>
                <w:color w:val="FFFFFF" w:themeColor="background1"/>
              </w:rPr>
            </w:pPr>
            <w:r>
              <w:rPr>
                <w:rFonts w:ascii="Arial" w:hAnsi="Arial" w:cs="Arial"/>
                <w:b/>
                <w:color w:val="FFFFFF" w:themeColor="background1"/>
              </w:rPr>
              <w:t>DIRECT REPORTS</w:t>
            </w:r>
          </w:p>
        </w:tc>
        <w:tc>
          <w:tcPr>
            <w:tcW w:w="7371" w:type="dxa"/>
            <w:tcBorders>
              <w:top w:val="single" w:sz="4" w:space="0" w:color="auto"/>
              <w:left w:val="single" w:sz="4" w:space="0" w:color="auto"/>
              <w:bottom w:val="single" w:sz="4" w:space="0" w:color="auto"/>
              <w:right w:val="single" w:sz="4" w:space="0" w:color="auto"/>
            </w:tcBorders>
          </w:tcPr>
          <w:p w14:paraId="5EA44AEF" w14:textId="1305215A" w:rsidR="00E17903" w:rsidRPr="00733413" w:rsidRDefault="00E17903">
            <w:pPr>
              <w:spacing w:before="120" w:after="120" w:line="240" w:lineRule="auto"/>
              <w:rPr>
                <w:rFonts w:ascii="Arial" w:hAnsi="Arial" w:cs="Arial"/>
                <w:sz w:val="20"/>
              </w:rPr>
            </w:pPr>
            <w:r w:rsidRPr="00733413">
              <w:rPr>
                <w:rFonts w:ascii="Arial" w:hAnsi="Arial" w:cs="Arial"/>
                <w:sz w:val="20"/>
              </w:rPr>
              <w:t>Reception/</w:t>
            </w:r>
            <w:r w:rsidR="00141AE2" w:rsidRPr="00733413">
              <w:rPr>
                <w:rFonts w:ascii="Arial" w:hAnsi="Arial" w:cs="Arial"/>
                <w:sz w:val="20"/>
              </w:rPr>
              <w:t>Office Junior</w:t>
            </w:r>
            <w:r w:rsidRPr="00733413">
              <w:rPr>
                <w:rFonts w:ascii="Arial" w:hAnsi="Arial" w:cs="Arial"/>
                <w:sz w:val="20"/>
              </w:rPr>
              <w:t>, Office Administrator</w:t>
            </w:r>
            <w:r w:rsidR="00141AE2" w:rsidRPr="00733413">
              <w:rPr>
                <w:rFonts w:ascii="Arial" w:hAnsi="Arial" w:cs="Arial"/>
                <w:sz w:val="20"/>
              </w:rPr>
              <w:t>, Administrator</w:t>
            </w:r>
          </w:p>
        </w:tc>
      </w:tr>
      <w:tr w:rsidR="0036132D" w14:paraId="70CB4D1B" w14:textId="77777777" w:rsidTr="001B002C">
        <w:tc>
          <w:tcPr>
            <w:tcW w:w="283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0F08C2A" w14:textId="77777777" w:rsidR="0036132D" w:rsidRDefault="0036132D">
            <w:pPr>
              <w:spacing w:before="120" w:after="120" w:line="240" w:lineRule="auto"/>
              <w:ind w:left="34"/>
              <w:rPr>
                <w:rFonts w:ascii="Arial" w:hAnsi="Arial" w:cs="Arial"/>
                <w:b/>
                <w:color w:val="FFFFFF" w:themeColor="background1"/>
              </w:rPr>
            </w:pPr>
            <w:r>
              <w:rPr>
                <w:rFonts w:ascii="Arial" w:hAnsi="Arial" w:cs="Arial"/>
                <w:b/>
                <w:color w:val="FFFFFF" w:themeColor="background1"/>
              </w:rPr>
              <w:t>LOCATION</w:t>
            </w:r>
          </w:p>
        </w:tc>
        <w:tc>
          <w:tcPr>
            <w:tcW w:w="7371" w:type="dxa"/>
            <w:tcBorders>
              <w:top w:val="single" w:sz="4" w:space="0" w:color="auto"/>
              <w:left w:val="single" w:sz="4" w:space="0" w:color="auto"/>
              <w:bottom w:val="single" w:sz="4" w:space="0" w:color="auto"/>
              <w:right w:val="single" w:sz="4" w:space="0" w:color="auto"/>
            </w:tcBorders>
            <w:hideMark/>
          </w:tcPr>
          <w:p w14:paraId="073E017A" w14:textId="77777777" w:rsidR="0036132D" w:rsidRDefault="0036132D">
            <w:pPr>
              <w:spacing w:before="120" w:after="120" w:line="240" w:lineRule="auto"/>
              <w:rPr>
                <w:rFonts w:ascii="Arial" w:hAnsi="Arial" w:cs="Arial"/>
                <w:sz w:val="20"/>
              </w:rPr>
            </w:pPr>
            <w:r>
              <w:rPr>
                <w:rFonts w:ascii="Arial" w:hAnsi="Arial" w:cs="Arial"/>
                <w:sz w:val="20"/>
              </w:rPr>
              <w:t>Nelson (and elsewhere as required)</w:t>
            </w:r>
          </w:p>
        </w:tc>
      </w:tr>
      <w:tr w:rsidR="0036132D" w14:paraId="252E37B2" w14:textId="77777777" w:rsidTr="001B002C">
        <w:tc>
          <w:tcPr>
            <w:tcW w:w="283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259EFF5" w14:textId="77777777" w:rsidR="0036132D" w:rsidRDefault="0036132D">
            <w:pPr>
              <w:spacing w:before="120" w:after="120" w:line="240" w:lineRule="auto"/>
              <w:ind w:left="34"/>
              <w:rPr>
                <w:rFonts w:ascii="Arial" w:hAnsi="Arial" w:cs="Arial"/>
                <w:b/>
                <w:color w:val="FFFFFF" w:themeColor="background1"/>
              </w:rPr>
            </w:pPr>
            <w:r>
              <w:rPr>
                <w:rFonts w:ascii="Arial" w:hAnsi="Arial" w:cs="Arial"/>
                <w:b/>
                <w:color w:val="FFFFFF" w:themeColor="background1"/>
              </w:rPr>
              <w:t>DATE ESTABLISHED</w:t>
            </w:r>
          </w:p>
        </w:tc>
        <w:tc>
          <w:tcPr>
            <w:tcW w:w="7371" w:type="dxa"/>
            <w:tcBorders>
              <w:top w:val="single" w:sz="4" w:space="0" w:color="auto"/>
              <w:left w:val="single" w:sz="4" w:space="0" w:color="auto"/>
              <w:bottom w:val="single" w:sz="4" w:space="0" w:color="auto"/>
              <w:right w:val="single" w:sz="4" w:space="0" w:color="auto"/>
            </w:tcBorders>
            <w:hideMark/>
          </w:tcPr>
          <w:p w14:paraId="0F575A41" w14:textId="37ED711C" w:rsidR="0036132D" w:rsidRDefault="00171090">
            <w:pPr>
              <w:spacing w:before="120" w:after="120" w:line="240" w:lineRule="auto"/>
              <w:rPr>
                <w:rFonts w:ascii="Arial" w:hAnsi="Arial" w:cs="Arial"/>
                <w:sz w:val="20"/>
              </w:rPr>
            </w:pPr>
            <w:r>
              <w:rPr>
                <w:rFonts w:ascii="Arial" w:hAnsi="Arial" w:cs="Arial"/>
                <w:sz w:val="20"/>
              </w:rPr>
              <w:t>January 2023</w:t>
            </w:r>
          </w:p>
        </w:tc>
      </w:tr>
    </w:tbl>
    <w:p w14:paraId="791B7776" w14:textId="77777777" w:rsidR="0036132D" w:rsidRDefault="0036132D" w:rsidP="0036132D">
      <w:pPr>
        <w:rPr>
          <w:rFonts w:ascii="Arial" w:hAnsi="Arial" w:cs="Arial"/>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0"/>
        <w:gridCol w:w="6"/>
      </w:tblGrid>
      <w:tr w:rsidR="0036132D" w14:paraId="266D0AD0" w14:textId="77777777" w:rsidTr="001B002C">
        <w:trPr>
          <w:gridAfter w:val="1"/>
          <w:wAfter w:w="6" w:type="dxa"/>
          <w:trHeight w:val="60"/>
        </w:trPr>
        <w:tc>
          <w:tcPr>
            <w:tcW w:w="10200"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80" w:type="dxa"/>
              <w:left w:w="80" w:type="dxa"/>
              <w:bottom w:w="80" w:type="dxa"/>
              <w:right w:w="80" w:type="dxa"/>
            </w:tcMar>
            <w:hideMark/>
          </w:tcPr>
          <w:p w14:paraId="2DC2D4DE" w14:textId="77777777" w:rsidR="0036132D" w:rsidRDefault="0036132D">
            <w:pPr>
              <w:pStyle w:val="SPARCGraphBodyText"/>
              <w:rPr>
                <w:rFonts w:ascii="Arial" w:hAnsi="Arial" w:cs="Arial"/>
                <w:color w:val="FFFFFF" w:themeColor="background1"/>
                <w:sz w:val="20"/>
                <w:lang w:eastAsia="en-US"/>
              </w:rPr>
            </w:pPr>
            <w:r>
              <w:rPr>
                <w:rStyle w:val="SPARCGraphTitle"/>
                <w:rFonts w:ascii="Arial" w:hAnsi="Arial" w:cs="Arial" w:hint="default"/>
                <w:color w:val="FFFFFF" w:themeColor="background1"/>
                <w:sz w:val="20"/>
                <w:lang w:eastAsia="en-US"/>
              </w:rPr>
              <w:t>PURPOSE OF THE POSITION</w:t>
            </w:r>
          </w:p>
        </w:tc>
      </w:tr>
      <w:tr w:rsidR="0036132D" w14:paraId="21533492" w14:textId="77777777" w:rsidTr="001452DE">
        <w:trPr>
          <w:trHeight w:val="1019"/>
        </w:trPr>
        <w:tc>
          <w:tcPr>
            <w:tcW w:w="1020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0448FF3" w14:textId="77777777" w:rsidR="0036132D" w:rsidRDefault="0036132D">
            <w:pPr>
              <w:pStyle w:val="bullet"/>
              <w:numPr>
                <w:ilvl w:val="0"/>
                <w:numId w:val="0"/>
              </w:numPr>
              <w:tabs>
                <w:tab w:val="clear" w:pos="318"/>
                <w:tab w:val="clear" w:pos="360"/>
                <w:tab w:val="left" w:pos="720"/>
              </w:tabs>
              <w:spacing w:after="0" w:line="276" w:lineRule="auto"/>
              <w:ind w:left="62"/>
              <w:rPr>
                <w:sz w:val="20"/>
                <w:szCs w:val="20"/>
                <w:lang w:eastAsia="en-US"/>
              </w:rPr>
            </w:pPr>
            <w:r>
              <w:rPr>
                <w:sz w:val="20"/>
                <w:szCs w:val="20"/>
                <w:lang w:eastAsia="en-US"/>
              </w:rPr>
              <w:t xml:space="preserve">To professionally lead Kernohan’s finance and administration functions in order to provide fit for purpose support to the business.  To be a positive and proactive contributor to Kernohan’s senior leadership team, providing commercially sound information, analysis and advice </w:t>
            </w:r>
            <w:proofErr w:type="gramStart"/>
            <w:r>
              <w:rPr>
                <w:sz w:val="20"/>
                <w:szCs w:val="20"/>
                <w:lang w:eastAsia="en-US"/>
              </w:rPr>
              <w:t>in order to</w:t>
            </w:r>
            <w:proofErr w:type="gramEnd"/>
            <w:r>
              <w:rPr>
                <w:sz w:val="20"/>
                <w:szCs w:val="20"/>
                <w:lang w:eastAsia="en-US"/>
              </w:rPr>
              <w:t xml:space="preserve"> guide astute business decisions.  To be a positive influence, support and mentor.  To adopt a forward looking, continuous improvement </w:t>
            </w:r>
            <w:proofErr w:type="gramStart"/>
            <w:r>
              <w:rPr>
                <w:sz w:val="20"/>
                <w:szCs w:val="20"/>
                <w:lang w:eastAsia="en-US"/>
              </w:rPr>
              <w:t>focus</w:t>
            </w:r>
            <w:proofErr w:type="gramEnd"/>
            <w:r>
              <w:rPr>
                <w:sz w:val="20"/>
                <w:szCs w:val="20"/>
                <w:lang w:eastAsia="en-US"/>
              </w:rPr>
              <w:t xml:space="preserve"> on Kernohan’s key systems, processes etc.  To consistently have the best interests of the organisation, its staff and customers at heart.</w:t>
            </w:r>
          </w:p>
        </w:tc>
      </w:tr>
    </w:tbl>
    <w:p w14:paraId="10148FF8" w14:textId="77777777" w:rsidR="0036132D" w:rsidRDefault="0036132D" w:rsidP="0036132D">
      <w:pPr>
        <w:rPr>
          <w:rFonts w:ascii="Arial" w:hAnsi="Arial" w:cs="Arial"/>
          <w:sz w:val="16"/>
          <w:szCs w:val="16"/>
        </w:rPr>
      </w:pPr>
    </w:p>
    <w:tbl>
      <w:tblPr>
        <w:tblpPr w:leftFromText="180" w:rightFromText="180" w:bottomFromText="200" w:vertAnchor="text" w:tblpX="-572" w:tblpY="1"/>
        <w:tblOverlap w:val="never"/>
        <w:tblW w:w="10200" w:type="dxa"/>
        <w:tblLayout w:type="fixed"/>
        <w:tblCellMar>
          <w:left w:w="0" w:type="dxa"/>
          <w:right w:w="0" w:type="dxa"/>
        </w:tblCellMar>
        <w:tblLook w:val="04A0" w:firstRow="1" w:lastRow="0" w:firstColumn="1" w:lastColumn="0" w:noHBand="0" w:noVBand="1"/>
      </w:tblPr>
      <w:tblGrid>
        <w:gridCol w:w="2122"/>
        <w:gridCol w:w="8078"/>
      </w:tblGrid>
      <w:tr w:rsidR="0036132D" w14:paraId="6574184A" w14:textId="77777777" w:rsidTr="001B002C">
        <w:trPr>
          <w:trHeight w:val="60"/>
          <w:tblHeader/>
        </w:trPr>
        <w:tc>
          <w:tcPr>
            <w:tcW w:w="10200"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cMar>
              <w:top w:w="80" w:type="dxa"/>
              <w:left w:w="80" w:type="dxa"/>
              <w:bottom w:w="80" w:type="dxa"/>
              <w:right w:w="80" w:type="dxa"/>
            </w:tcMar>
            <w:hideMark/>
          </w:tcPr>
          <w:p w14:paraId="7FE3E924" w14:textId="77777777" w:rsidR="0036132D" w:rsidRDefault="0036132D" w:rsidP="001452DE">
            <w:pPr>
              <w:pStyle w:val="SPARCGraphBodyText"/>
              <w:rPr>
                <w:rFonts w:ascii="Arial" w:hAnsi="Arial" w:cs="Arial"/>
                <w:color w:val="FFFFFF" w:themeColor="background1"/>
                <w:sz w:val="20"/>
                <w:lang w:eastAsia="en-US"/>
              </w:rPr>
            </w:pPr>
            <w:r>
              <w:rPr>
                <w:rStyle w:val="SPARCGraphTitle"/>
                <w:rFonts w:ascii="Arial" w:hAnsi="Arial" w:cs="Arial" w:hint="default"/>
                <w:color w:val="FFFFFF" w:themeColor="background1"/>
                <w:sz w:val="20"/>
                <w:lang w:eastAsia="en-US"/>
              </w:rPr>
              <w:t>KEY RESPONSIBILITES</w:t>
            </w:r>
          </w:p>
        </w:tc>
      </w:tr>
      <w:tr w:rsidR="0036132D" w14:paraId="181D18B5" w14:textId="77777777" w:rsidTr="001B002C">
        <w:trPr>
          <w:trHeight w:val="60"/>
          <w:tblHeader/>
        </w:trPr>
        <w:tc>
          <w:tcPr>
            <w:tcW w:w="2122"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80" w:type="dxa"/>
              <w:left w:w="80" w:type="dxa"/>
              <w:bottom w:w="80" w:type="dxa"/>
              <w:right w:w="80" w:type="dxa"/>
            </w:tcMar>
            <w:hideMark/>
          </w:tcPr>
          <w:p w14:paraId="31D4C5CC" w14:textId="77777777" w:rsidR="0036132D" w:rsidRDefault="0036132D" w:rsidP="001452DE">
            <w:pPr>
              <w:pStyle w:val="SPARCGraphBodyText"/>
              <w:rPr>
                <w:rStyle w:val="SPARCGraphTitle"/>
                <w:rFonts w:ascii="Arial" w:hAnsi="Arial" w:cs="Times New Roman" w:hint="default"/>
                <w:sz w:val="20"/>
              </w:rPr>
            </w:pPr>
            <w:r>
              <w:rPr>
                <w:rStyle w:val="SPARCGraphTitle"/>
                <w:rFonts w:ascii="Arial" w:hAnsi="Arial" w:hint="default"/>
                <w:color w:val="FFFFFF" w:themeColor="background1"/>
                <w:sz w:val="20"/>
                <w:lang w:eastAsia="en-US"/>
              </w:rPr>
              <w:t>Responsibility</w:t>
            </w:r>
          </w:p>
        </w:tc>
        <w:tc>
          <w:tcPr>
            <w:tcW w:w="807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AB4E0B3" w14:textId="77777777" w:rsidR="0036132D" w:rsidRDefault="0036132D" w:rsidP="001452DE">
            <w:pPr>
              <w:pStyle w:val="SPARCGraphBodyText"/>
              <w:rPr>
                <w:rStyle w:val="SPARCGraphTitle"/>
                <w:rFonts w:ascii="Arial" w:hAnsi="Arial" w:hint="default"/>
                <w:color w:val="FFFFFF" w:themeColor="background1"/>
                <w:sz w:val="20"/>
                <w:lang w:eastAsia="en-US"/>
              </w:rPr>
            </w:pPr>
            <w:r>
              <w:rPr>
                <w:rStyle w:val="SPARCGraphTitle"/>
                <w:rFonts w:ascii="Arial" w:hAnsi="Arial" w:hint="default"/>
                <w:color w:val="FFFFFF" w:themeColor="background1"/>
                <w:sz w:val="20"/>
                <w:lang w:eastAsia="en-US"/>
              </w:rPr>
              <w:t>Expected Outcome</w:t>
            </w:r>
          </w:p>
        </w:tc>
      </w:tr>
      <w:tr w:rsidR="0036132D" w14:paraId="723E0E3D"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F499DE3" w14:textId="77777777" w:rsidR="0036132D" w:rsidRDefault="0036132D" w:rsidP="001452DE">
            <w:pPr>
              <w:pStyle w:val="SPARCGraphBodyText"/>
              <w:spacing w:line="240" w:lineRule="auto"/>
              <w:rPr>
                <w:rFonts w:cs="Arial"/>
              </w:rPr>
            </w:pPr>
            <w:r>
              <w:rPr>
                <w:rFonts w:ascii="Arial" w:hAnsi="Arial" w:cs="Arial"/>
                <w:b/>
                <w:sz w:val="20"/>
                <w:lang w:eastAsia="en-US"/>
              </w:rPr>
              <w:t>Finance &amp; Administration</w:t>
            </w:r>
          </w:p>
        </w:tc>
        <w:tc>
          <w:tcPr>
            <w:tcW w:w="8078" w:type="dxa"/>
            <w:tcBorders>
              <w:top w:val="single" w:sz="4" w:space="0" w:color="auto"/>
              <w:left w:val="single" w:sz="4" w:space="0" w:color="auto"/>
              <w:bottom w:val="single" w:sz="4" w:space="0" w:color="auto"/>
              <w:right w:val="single" w:sz="4" w:space="0" w:color="auto"/>
            </w:tcBorders>
            <w:hideMark/>
          </w:tcPr>
          <w:p w14:paraId="5DEFBB6E" w14:textId="53EEB6CE" w:rsidR="00171090"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Oversee the efficient and effective delivery of all finance and administration functions within the business, </w:t>
            </w:r>
            <w:r w:rsidR="00171090">
              <w:rPr>
                <w:rFonts w:ascii="Arial" w:hAnsi="Arial" w:cs="Arial"/>
                <w:sz w:val="20"/>
                <w:lang w:eastAsia="en-US"/>
              </w:rPr>
              <w:t xml:space="preserve">including </w:t>
            </w:r>
            <w:r>
              <w:rPr>
                <w:rFonts w:ascii="Arial" w:hAnsi="Arial" w:cs="Arial"/>
                <w:sz w:val="20"/>
                <w:lang w:eastAsia="en-US"/>
              </w:rPr>
              <w:t xml:space="preserve">debtors, creditors, job costing, </w:t>
            </w:r>
            <w:r w:rsidR="00171090">
              <w:rPr>
                <w:rFonts w:ascii="Arial" w:hAnsi="Arial" w:cs="Arial"/>
                <w:sz w:val="20"/>
                <w:lang w:eastAsia="en-US"/>
              </w:rPr>
              <w:t xml:space="preserve">payroll, </w:t>
            </w:r>
            <w:r>
              <w:rPr>
                <w:rFonts w:ascii="Arial" w:hAnsi="Arial" w:cs="Arial"/>
                <w:sz w:val="20"/>
                <w:lang w:eastAsia="en-US"/>
              </w:rPr>
              <w:t>reconciliations</w:t>
            </w:r>
            <w:r w:rsidR="00171090">
              <w:rPr>
                <w:rFonts w:ascii="Arial" w:hAnsi="Arial" w:cs="Arial"/>
                <w:sz w:val="20"/>
                <w:lang w:eastAsia="en-US"/>
              </w:rPr>
              <w:t>.</w:t>
            </w:r>
            <w:r>
              <w:rPr>
                <w:rFonts w:ascii="Arial" w:hAnsi="Arial" w:cs="Arial"/>
                <w:sz w:val="20"/>
                <w:lang w:eastAsia="en-US"/>
              </w:rPr>
              <w:t xml:space="preserve"> </w:t>
            </w:r>
          </w:p>
          <w:p w14:paraId="1FE6C118" w14:textId="6BF3C3DA" w:rsidR="00694418" w:rsidRPr="00733413" w:rsidRDefault="00171090" w:rsidP="00733413">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Directly responsible for the creation of budgets, WIP management and reporting, general ledger,</w:t>
            </w:r>
            <w:r w:rsidRPr="00171090">
              <w:rPr>
                <w:rFonts w:ascii="Arial" w:hAnsi="Arial" w:cs="Arial"/>
                <w:sz w:val="20"/>
                <w:lang w:eastAsia="en-US"/>
              </w:rPr>
              <w:t xml:space="preserve"> </w:t>
            </w:r>
            <w:r w:rsidR="0036132D" w:rsidRPr="00171090">
              <w:rPr>
                <w:rFonts w:ascii="Arial" w:hAnsi="Arial" w:cs="Arial"/>
                <w:sz w:val="20"/>
                <w:lang w:eastAsia="en-US"/>
              </w:rPr>
              <w:t>month and end of year financials, statutory returns, regulatory reporting, stocktake.</w:t>
            </w:r>
          </w:p>
          <w:p w14:paraId="0CDF6BFA" w14:textId="08E9E44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Proactively raise and address any risks appropriatel</w:t>
            </w:r>
            <w:r w:rsidR="00171090">
              <w:rPr>
                <w:rFonts w:ascii="Arial" w:hAnsi="Arial" w:cs="Arial"/>
                <w:sz w:val="20"/>
                <w:lang w:eastAsia="en-US"/>
              </w:rPr>
              <w:t>y</w:t>
            </w:r>
            <w:r w:rsidR="00694418">
              <w:rPr>
                <w:rFonts w:ascii="Arial" w:hAnsi="Arial" w:cs="Arial"/>
                <w:sz w:val="20"/>
                <w:lang w:eastAsia="en-US"/>
              </w:rPr>
              <w:t xml:space="preserve"> </w:t>
            </w:r>
            <w:r>
              <w:rPr>
                <w:rFonts w:ascii="Arial" w:hAnsi="Arial" w:cs="Arial"/>
                <w:sz w:val="20"/>
                <w:lang w:eastAsia="en-US"/>
              </w:rPr>
              <w:t>and seize opportunities to achieve and improve compliance and accuracy.</w:t>
            </w:r>
          </w:p>
        </w:tc>
      </w:tr>
      <w:tr w:rsidR="0036132D" w14:paraId="77A3A030"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1B531BF" w14:textId="77777777" w:rsidR="0036132D" w:rsidRDefault="0036132D" w:rsidP="001452DE">
            <w:pPr>
              <w:pStyle w:val="SPARCGraphBodyText"/>
              <w:spacing w:line="240" w:lineRule="auto"/>
              <w:rPr>
                <w:rFonts w:ascii="Arial" w:hAnsi="Arial" w:cs="Arial"/>
                <w:b/>
                <w:sz w:val="20"/>
                <w:lang w:eastAsia="en-US"/>
              </w:rPr>
            </w:pPr>
            <w:r>
              <w:rPr>
                <w:rFonts w:ascii="Arial" w:hAnsi="Arial" w:cs="Arial"/>
                <w:b/>
                <w:sz w:val="20"/>
                <w:lang w:eastAsia="en-US"/>
              </w:rPr>
              <w:t>Reporting &amp; Analysis</w:t>
            </w:r>
          </w:p>
        </w:tc>
        <w:tc>
          <w:tcPr>
            <w:tcW w:w="8078" w:type="dxa"/>
            <w:tcBorders>
              <w:top w:val="single" w:sz="4" w:space="0" w:color="auto"/>
              <w:left w:val="single" w:sz="4" w:space="0" w:color="auto"/>
              <w:bottom w:val="single" w:sz="4" w:space="0" w:color="auto"/>
              <w:right w:val="single" w:sz="4" w:space="0" w:color="auto"/>
            </w:tcBorders>
            <w:hideMark/>
          </w:tcPr>
          <w:p w14:paraId="2F424255" w14:textId="01AD803B"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Develop a comprehensive understanding of the business </w:t>
            </w:r>
            <w:r w:rsidR="00CE6863">
              <w:rPr>
                <w:rFonts w:ascii="Arial" w:hAnsi="Arial" w:cs="Arial"/>
                <w:sz w:val="20"/>
                <w:lang w:eastAsia="en-US"/>
              </w:rPr>
              <w:t xml:space="preserve">and </w:t>
            </w:r>
            <w:r>
              <w:rPr>
                <w:rFonts w:ascii="Arial" w:hAnsi="Arial" w:cs="Arial"/>
                <w:sz w:val="20"/>
                <w:lang w:eastAsia="en-US"/>
              </w:rPr>
              <w:t xml:space="preserve">present regular reports </w:t>
            </w:r>
            <w:proofErr w:type="gramStart"/>
            <w:r>
              <w:rPr>
                <w:rFonts w:ascii="Arial" w:hAnsi="Arial" w:cs="Arial"/>
                <w:sz w:val="20"/>
                <w:lang w:eastAsia="en-US"/>
              </w:rPr>
              <w:t>in order to</w:t>
            </w:r>
            <w:proofErr w:type="gramEnd"/>
            <w:r>
              <w:rPr>
                <w:rFonts w:ascii="Arial" w:hAnsi="Arial" w:cs="Arial"/>
                <w:sz w:val="20"/>
                <w:lang w:eastAsia="en-US"/>
              </w:rPr>
              <w:t xml:space="preserve"> create transparency of true business performance over time.</w:t>
            </w:r>
          </w:p>
          <w:p w14:paraId="1BF77778" w14:textId="35BF5106"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Ensure the senior leadership team and governance are aware of any underlying financial trends or risks </w:t>
            </w:r>
            <w:r w:rsidR="00A770E4">
              <w:rPr>
                <w:rFonts w:ascii="Arial" w:hAnsi="Arial" w:cs="Arial"/>
                <w:sz w:val="20"/>
                <w:lang w:eastAsia="en-US"/>
              </w:rPr>
              <w:t>so</w:t>
            </w:r>
            <w:r>
              <w:rPr>
                <w:rFonts w:ascii="Arial" w:hAnsi="Arial" w:cs="Arial"/>
                <w:sz w:val="20"/>
                <w:lang w:eastAsia="en-US"/>
              </w:rPr>
              <w:t xml:space="preserve"> that corrective action can be taken if required.</w:t>
            </w:r>
          </w:p>
          <w:p w14:paraId="48EBA5D8" w14:textId="7777777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Work with the business to commercially analyse and understand the impacts of various work opportunities and markets </w:t>
            </w:r>
            <w:r w:rsidR="00694418">
              <w:rPr>
                <w:rFonts w:ascii="Arial" w:hAnsi="Arial" w:cs="Arial"/>
                <w:sz w:val="20"/>
                <w:lang w:eastAsia="en-US"/>
              </w:rPr>
              <w:t>e.g.,</w:t>
            </w:r>
            <w:r>
              <w:rPr>
                <w:rFonts w:ascii="Arial" w:hAnsi="Arial" w:cs="Arial"/>
                <w:sz w:val="20"/>
                <w:lang w:eastAsia="en-US"/>
              </w:rPr>
              <w:t xml:space="preserve"> complete financial modelling.</w:t>
            </w:r>
          </w:p>
          <w:p w14:paraId="7FAF0018" w14:textId="781CF8A0" w:rsidR="00694418" w:rsidRDefault="00694418"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Cash flow </w:t>
            </w:r>
          </w:p>
        </w:tc>
      </w:tr>
      <w:tr w:rsidR="0036132D" w14:paraId="6C4E06B0"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291819F" w14:textId="77777777" w:rsidR="0036132D" w:rsidRDefault="0036132D" w:rsidP="001452DE">
            <w:pPr>
              <w:pStyle w:val="SPARCGraphBodyText"/>
              <w:spacing w:line="240" w:lineRule="auto"/>
              <w:rPr>
                <w:rFonts w:ascii="Arial" w:hAnsi="Arial" w:cs="Arial"/>
                <w:b/>
                <w:sz w:val="20"/>
                <w:lang w:eastAsia="en-US"/>
              </w:rPr>
            </w:pPr>
            <w:r>
              <w:rPr>
                <w:rFonts w:ascii="Arial" w:hAnsi="Arial" w:cs="Arial"/>
                <w:b/>
                <w:sz w:val="20"/>
                <w:lang w:eastAsia="en-US"/>
              </w:rPr>
              <w:t>Systems</w:t>
            </w:r>
          </w:p>
        </w:tc>
        <w:tc>
          <w:tcPr>
            <w:tcW w:w="8078" w:type="dxa"/>
            <w:tcBorders>
              <w:top w:val="single" w:sz="4" w:space="0" w:color="auto"/>
              <w:left w:val="single" w:sz="4" w:space="0" w:color="auto"/>
              <w:bottom w:val="single" w:sz="4" w:space="0" w:color="auto"/>
              <w:right w:val="single" w:sz="4" w:space="0" w:color="auto"/>
            </w:tcBorders>
            <w:hideMark/>
          </w:tcPr>
          <w:p w14:paraId="2948E38B" w14:textId="129279F9" w:rsidR="00694418" w:rsidRPr="00733413" w:rsidRDefault="0036132D" w:rsidP="00733413">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Create effective business cases should system changes be deemed worthwhile.</w:t>
            </w:r>
          </w:p>
        </w:tc>
      </w:tr>
      <w:tr w:rsidR="0036132D" w14:paraId="0DF265D8"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8637AD0" w14:textId="77777777" w:rsidR="0036132D" w:rsidRDefault="0036132D" w:rsidP="001452DE">
            <w:pPr>
              <w:pStyle w:val="SPARCGraphBodyText"/>
              <w:spacing w:line="240" w:lineRule="auto"/>
              <w:rPr>
                <w:rFonts w:ascii="Arial" w:hAnsi="Arial" w:cs="Arial"/>
                <w:b/>
                <w:sz w:val="20"/>
                <w:lang w:eastAsia="en-US"/>
              </w:rPr>
            </w:pPr>
            <w:r>
              <w:rPr>
                <w:rFonts w:ascii="Arial" w:hAnsi="Arial" w:cs="Arial"/>
                <w:b/>
                <w:sz w:val="20"/>
                <w:lang w:eastAsia="en-US"/>
              </w:rPr>
              <w:t>Leadership</w:t>
            </w:r>
          </w:p>
        </w:tc>
        <w:tc>
          <w:tcPr>
            <w:tcW w:w="8078" w:type="dxa"/>
            <w:tcBorders>
              <w:top w:val="single" w:sz="4" w:space="0" w:color="auto"/>
              <w:left w:val="single" w:sz="4" w:space="0" w:color="auto"/>
              <w:bottom w:val="single" w:sz="4" w:space="0" w:color="auto"/>
              <w:right w:val="single" w:sz="4" w:space="0" w:color="auto"/>
            </w:tcBorders>
            <w:hideMark/>
          </w:tcPr>
          <w:p w14:paraId="6B6B2E30" w14:textId="13E93948"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Provide leadership to Kernohan’s finance and administration team.  Ensure expectations are clear and accountabilities met.  Support and challenge the team to realise potential and deliver value to the business. Positively engage and seek buy in to the rationale and value of doing things differently.</w:t>
            </w:r>
          </w:p>
          <w:p w14:paraId="09D7E339" w14:textId="7777777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Play an active, positive role as part of Kernohan’s senior leadership team.  Be an active contributor of information, advice and guidance to support the organisation realise its potential and continuously improve.</w:t>
            </w:r>
          </w:p>
          <w:p w14:paraId="3A34B7E2" w14:textId="669CCC15" w:rsidR="0036132D" w:rsidRPr="001C67D6"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color w:val="auto"/>
                <w:sz w:val="20"/>
                <w:lang w:eastAsia="en-US"/>
              </w:rPr>
            </w:pPr>
            <w:r w:rsidRPr="001C67D6">
              <w:rPr>
                <w:rFonts w:ascii="Arial" w:hAnsi="Arial" w:cs="Arial"/>
                <w:color w:val="auto"/>
                <w:sz w:val="20"/>
                <w:lang w:eastAsia="en-US"/>
              </w:rPr>
              <w:t xml:space="preserve">Create professional, accurate </w:t>
            </w:r>
            <w:r w:rsidR="00267CFE" w:rsidRPr="001C67D6">
              <w:rPr>
                <w:rFonts w:ascii="Arial" w:hAnsi="Arial" w:cs="Arial"/>
                <w:color w:val="auto"/>
                <w:sz w:val="20"/>
                <w:lang w:eastAsia="en-US"/>
              </w:rPr>
              <w:t xml:space="preserve">Financial </w:t>
            </w:r>
            <w:r w:rsidRPr="001C67D6">
              <w:rPr>
                <w:rFonts w:ascii="Arial" w:hAnsi="Arial" w:cs="Arial"/>
                <w:color w:val="auto"/>
                <w:sz w:val="20"/>
                <w:lang w:eastAsia="en-US"/>
              </w:rPr>
              <w:t>Board Reports</w:t>
            </w:r>
          </w:p>
          <w:p w14:paraId="137F1918" w14:textId="7777777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Be a proactive contributor to the development of a future focused business plan that achieves desired business results.</w:t>
            </w:r>
          </w:p>
        </w:tc>
      </w:tr>
      <w:tr w:rsidR="0036132D" w14:paraId="1284EF8C"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739C4D2" w14:textId="77777777" w:rsidR="0036132D" w:rsidRDefault="0036132D" w:rsidP="001452DE">
            <w:pPr>
              <w:pStyle w:val="SPARCGraphBodyText"/>
              <w:spacing w:line="240" w:lineRule="auto"/>
              <w:rPr>
                <w:rFonts w:ascii="Arial" w:hAnsi="Arial" w:cs="Arial"/>
                <w:b/>
                <w:sz w:val="20"/>
                <w:lang w:eastAsia="en-US"/>
              </w:rPr>
            </w:pPr>
            <w:r>
              <w:rPr>
                <w:rFonts w:ascii="Arial" w:hAnsi="Arial" w:cs="Arial"/>
                <w:b/>
                <w:sz w:val="20"/>
                <w:lang w:eastAsia="en-US"/>
              </w:rPr>
              <w:t>Health and Safety</w:t>
            </w:r>
          </w:p>
        </w:tc>
        <w:tc>
          <w:tcPr>
            <w:tcW w:w="8078" w:type="dxa"/>
            <w:tcBorders>
              <w:top w:val="single" w:sz="4" w:space="0" w:color="auto"/>
              <w:left w:val="single" w:sz="4" w:space="0" w:color="auto"/>
              <w:bottom w:val="single" w:sz="4" w:space="0" w:color="auto"/>
              <w:right w:val="single" w:sz="4" w:space="0" w:color="auto"/>
            </w:tcBorders>
            <w:hideMark/>
          </w:tcPr>
          <w:p w14:paraId="6E406C5A" w14:textId="7777777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Assume responsibility for self and others in adhering to Kernohan’s Health and Safety policies and procedures.</w:t>
            </w:r>
          </w:p>
          <w:p w14:paraId="38899E26" w14:textId="7777777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lastRenderedPageBreak/>
              <w:t>Be a proactive champion for Health &amp; Safety as part of Kernohan’s senior leadership team.</w:t>
            </w:r>
          </w:p>
        </w:tc>
      </w:tr>
      <w:tr w:rsidR="0036132D" w14:paraId="1A351626"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0E69C3D" w14:textId="77777777" w:rsidR="0036132D" w:rsidRDefault="0036132D" w:rsidP="001452DE">
            <w:pPr>
              <w:pStyle w:val="SPARCGraphBodyText"/>
              <w:spacing w:line="240" w:lineRule="auto"/>
              <w:rPr>
                <w:rFonts w:ascii="Arial" w:hAnsi="Arial" w:cs="Arial"/>
                <w:b/>
                <w:sz w:val="20"/>
                <w:lang w:eastAsia="en-US"/>
              </w:rPr>
            </w:pPr>
            <w:r>
              <w:rPr>
                <w:rFonts w:ascii="Arial" w:hAnsi="Arial" w:cs="Arial"/>
                <w:b/>
                <w:sz w:val="20"/>
                <w:lang w:eastAsia="en-US"/>
              </w:rPr>
              <w:lastRenderedPageBreak/>
              <w:t>Quality System</w:t>
            </w:r>
          </w:p>
        </w:tc>
        <w:tc>
          <w:tcPr>
            <w:tcW w:w="8078" w:type="dxa"/>
            <w:tcBorders>
              <w:top w:val="single" w:sz="4" w:space="0" w:color="auto"/>
              <w:left w:val="single" w:sz="4" w:space="0" w:color="auto"/>
              <w:bottom w:val="single" w:sz="4" w:space="0" w:color="auto"/>
              <w:right w:val="single" w:sz="4" w:space="0" w:color="auto"/>
            </w:tcBorders>
            <w:hideMark/>
          </w:tcPr>
          <w:p w14:paraId="7A04837C" w14:textId="0172B649" w:rsidR="00267CFE" w:rsidRPr="00334922"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Ensure finance and administration staff and internal process follow ISO </w:t>
            </w:r>
            <w:r w:rsidR="00267CFE">
              <w:rPr>
                <w:rFonts w:ascii="Arial" w:hAnsi="Arial" w:cs="Arial"/>
                <w:sz w:val="20"/>
                <w:lang w:eastAsia="en-US"/>
              </w:rPr>
              <w:t xml:space="preserve">compliance </w:t>
            </w:r>
            <w:r>
              <w:rPr>
                <w:rFonts w:ascii="Arial" w:hAnsi="Arial" w:cs="Arial"/>
                <w:sz w:val="20"/>
                <w:lang w:eastAsia="en-US"/>
              </w:rPr>
              <w:t>system requirements as specified in the Quality System Manual.</w:t>
            </w:r>
          </w:p>
        </w:tc>
      </w:tr>
      <w:tr w:rsidR="0036132D" w14:paraId="0F98AD0A" w14:textId="77777777" w:rsidTr="001452DE">
        <w:trPr>
          <w:trHeight w:val="60"/>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19F6B14" w14:textId="77777777" w:rsidR="0036132D" w:rsidRDefault="0036132D" w:rsidP="001452DE">
            <w:pPr>
              <w:pStyle w:val="SPARCGraphBodyText"/>
              <w:spacing w:line="240" w:lineRule="auto"/>
              <w:rPr>
                <w:rFonts w:ascii="Arial" w:hAnsi="Arial" w:cs="Arial"/>
                <w:b/>
                <w:sz w:val="20"/>
                <w:lang w:eastAsia="en-US"/>
              </w:rPr>
            </w:pPr>
            <w:r>
              <w:rPr>
                <w:rFonts w:ascii="Arial" w:hAnsi="Arial" w:cs="Arial"/>
                <w:b/>
                <w:bCs/>
                <w:iCs/>
                <w:sz w:val="20"/>
                <w:lang w:eastAsia="en-US"/>
              </w:rPr>
              <w:t>General</w:t>
            </w:r>
          </w:p>
        </w:tc>
        <w:tc>
          <w:tcPr>
            <w:tcW w:w="8078" w:type="dxa"/>
            <w:tcBorders>
              <w:top w:val="single" w:sz="4" w:space="0" w:color="auto"/>
              <w:left w:val="single" w:sz="4" w:space="0" w:color="auto"/>
              <w:bottom w:val="single" w:sz="4" w:space="0" w:color="auto"/>
              <w:right w:val="single" w:sz="4" w:space="0" w:color="auto"/>
            </w:tcBorders>
            <w:hideMark/>
          </w:tcPr>
          <w:p w14:paraId="5BDB8560" w14:textId="77777777" w:rsidR="0036132D" w:rsidRDefault="0036132D" w:rsidP="001452DE">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Willingly undertake other projects and tasks in order to be a positive contributor to the overall success of the Kernohan team.</w:t>
            </w:r>
          </w:p>
        </w:tc>
      </w:tr>
    </w:tbl>
    <w:p w14:paraId="6F330C8E" w14:textId="77777777" w:rsidR="0036132D" w:rsidRDefault="0036132D" w:rsidP="0036132D">
      <w:pPr>
        <w:rPr>
          <w:rFonts w:ascii="Arial" w:hAnsi="Arial" w:cs="Arial"/>
          <w:sz w:val="16"/>
          <w:szCs w:val="16"/>
        </w:rPr>
      </w:pPr>
    </w:p>
    <w:tbl>
      <w:tblPr>
        <w:tblW w:w="10200" w:type="dxa"/>
        <w:tblInd w:w="-572" w:type="dxa"/>
        <w:tblLayout w:type="fixed"/>
        <w:tblCellMar>
          <w:left w:w="0" w:type="dxa"/>
          <w:right w:w="0" w:type="dxa"/>
        </w:tblCellMar>
        <w:tblLook w:val="04A0" w:firstRow="1" w:lastRow="0" w:firstColumn="1" w:lastColumn="0" w:noHBand="0" w:noVBand="1"/>
      </w:tblPr>
      <w:tblGrid>
        <w:gridCol w:w="10200"/>
      </w:tblGrid>
      <w:tr w:rsidR="0036132D" w14:paraId="7F643633" w14:textId="77777777" w:rsidTr="001B002C">
        <w:trPr>
          <w:trHeight w:val="60"/>
          <w:tblHeader/>
        </w:trPr>
        <w:tc>
          <w:tcPr>
            <w:tcW w:w="10200"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80" w:type="dxa"/>
              <w:left w:w="80" w:type="dxa"/>
              <w:bottom w:w="80" w:type="dxa"/>
              <w:right w:w="80" w:type="dxa"/>
            </w:tcMar>
            <w:hideMark/>
          </w:tcPr>
          <w:p w14:paraId="14759F12" w14:textId="77777777" w:rsidR="0036132D" w:rsidRDefault="0036132D">
            <w:pPr>
              <w:pStyle w:val="SPARCGraphBodyText"/>
              <w:rPr>
                <w:rFonts w:ascii="Arial" w:hAnsi="Arial" w:cs="Arial"/>
                <w:b/>
                <w:color w:val="FFFFFF" w:themeColor="background1"/>
                <w:sz w:val="20"/>
                <w:lang w:eastAsia="en-US"/>
              </w:rPr>
            </w:pPr>
            <w:r>
              <w:rPr>
                <w:rStyle w:val="SPARCGraphTitle"/>
                <w:rFonts w:ascii="Arial" w:hAnsi="Arial" w:cs="Arial" w:hint="default"/>
                <w:color w:val="FFFFFF" w:themeColor="background1"/>
                <w:sz w:val="20"/>
                <w:lang w:eastAsia="en-US"/>
              </w:rPr>
              <w:t>KEY RELATIONSHIPS</w:t>
            </w:r>
          </w:p>
        </w:tc>
      </w:tr>
      <w:tr w:rsidR="0036132D" w14:paraId="43E578A2" w14:textId="77777777" w:rsidTr="001452DE">
        <w:trPr>
          <w:trHeight w:val="1278"/>
        </w:trPr>
        <w:tc>
          <w:tcPr>
            <w:tcW w:w="102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80395D" w14:textId="77777777" w:rsidR="0036132D" w:rsidRDefault="0036132D">
            <w:pPr>
              <w:pStyle w:val="SPARCGraphBodyText"/>
              <w:tabs>
                <w:tab w:val="clear" w:pos="227"/>
                <w:tab w:val="clear" w:pos="360"/>
                <w:tab w:val="left" w:pos="426"/>
              </w:tabs>
              <w:spacing w:line="240" w:lineRule="auto"/>
              <w:rPr>
                <w:rFonts w:ascii="Arial" w:hAnsi="Arial" w:cs="Arial"/>
                <w:b/>
                <w:sz w:val="20"/>
                <w:lang w:eastAsia="en-US"/>
              </w:rPr>
            </w:pPr>
            <w:r>
              <w:rPr>
                <w:rFonts w:ascii="Arial" w:hAnsi="Arial" w:cs="Arial"/>
                <w:b/>
                <w:sz w:val="20"/>
                <w:lang w:eastAsia="en-US"/>
              </w:rPr>
              <w:t>Internal:</w:t>
            </w:r>
          </w:p>
          <w:p w14:paraId="4C2581EC" w14:textId="77777777" w:rsidR="0036132D" w:rsidRDefault="0036132D">
            <w:pPr>
              <w:pStyle w:val="SPARCGraphBodyText"/>
              <w:tabs>
                <w:tab w:val="clear" w:pos="227"/>
                <w:tab w:val="clear" w:pos="360"/>
                <w:tab w:val="left" w:pos="426"/>
              </w:tabs>
              <w:spacing w:line="240" w:lineRule="auto"/>
              <w:rPr>
                <w:rFonts w:ascii="Arial" w:hAnsi="Arial" w:cs="Arial"/>
                <w:sz w:val="20"/>
                <w:lang w:eastAsia="en-US"/>
              </w:rPr>
            </w:pPr>
          </w:p>
          <w:p w14:paraId="55F60C1B"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Finance and administration team members</w:t>
            </w:r>
          </w:p>
          <w:p w14:paraId="5B3B4BB0"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Leadership team members</w:t>
            </w:r>
          </w:p>
          <w:p w14:paraId="2888138F" w14:textId="48EA3FD1" w:rsidR="0036132D" w:rsidRPr="00267CFE" w:rsidRDefault="0036132D" w:rsidP="00E9037D">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sidRPr="00267CFE">
              <w:rPr>
                <w:rFonts w:ascii="Arial" w:hAnsi="Arial" w:cs="Arial"/>
                <w:sz w:val="20"/>
                <w:lang w:eastAsia="en-US"/>
              </w:rPr>
              <w:t>Director</w:t>
            </w:r>
            <w:r w:rsidR="00267CFE" w:rsidRPr="00267CFE">
              <w:rPr>
                <w:rFonts w:ascii="Arial" w:hAnsi="Arial" w:cs="Arial"/>
                <w:sz w:val="20"/>
                <w:lang w:eastAsia="en-US"/>
              </w:rPr>
              <w:t>s</w:t>
            </w:r>
            <w:r w:rsidR="00267CFE">
              <w:rPr>
                <w:rFonts w:ascii="Arial" w:hAnsi="Arial" w:cs="Arial"/>
                <w:sz w:val="20"/>
                <w:lang w:eastAsia="en-US"/>
              </w:rPr>
              <w:t>/</w:t>
            </w:r>
            <w:r w:rsidRPr="00267CFE">
              <w:rPr>
                <w:rFonts w:ascii="Arial" w:hAnsi="Arial" w:cs="Arial"/>
                <w:sz w:val="20"/>
                <w:lang w:eastAsia="en-US"/>
              </w:rPr>
              <w:t>Board Members</w:t>
            </w:r>
          </w:p>
          <w:p w14:paraId="07632F04"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Kernohan staff</w:t>
            </w:r>
          </w:p>
          <w:p w14:paraId="030F6CAC" w14:textId="77777777" w:rsidR="0036132D" w:rsidRDefault="0036132D">
            <w:pPr>
              <w:pStyle w:val="SPARCGraphBodyText"/>
              <w:tabs>
                <w:tab w:val="clear" w:pos="227"/>
                <w:tab w:val="clear" w:pos="360"/>
                <w:tab w:val="left" w:pos="426"/>
              </w:tabs>
              <w:spacing w:line="240" w:lineRule="auto"/>
              <w:rPr>
                <w:rFonts w:ascii="Arial" w:hAnsi="Arial" w:cs="Arial"/>
                <w:sz w:val="20"/>
                <w:lang w:eastAsia="en-US"/>
              </w:rPr>
            </w:pPr>
          </w:p>
          <w:p w14:paraId="01C8A927" w14:textId="77777777" w:rsidR="0036132D" w:rsidRDefault="0036132D">
            <w:pPr>
              <w:pStyle w:val="SPARCGraphBodyText"/>
              <w:tabs>
                <w:tab w:val="clear" w:pos="227"/>
                <w:tab w:val="clear" w:pos="360"/>
                <w:tab w:val="left" w:pos="426"/>
              </w:tabs>
              <w:spacing w:line="240" w:lineRule="auto"/>
              <w:rPr>
                <w:rFonts w:ascii="Arial" w:hAnsi="Arial" w:cs="Arial"/>
                <w:sz w:val="20"/>
                <w:lang w:eastAsia="en-US"/>
              </w:rPr>
            </w:pPr>
            <w:r>
              <w:rPr>
                <w:rFonts w:ascii="Arial" w:hAnsi="Arial" w:cs="Arial"/>
                <w:b/>
                <w:sz w:val="20"/>
                <w:lang w:eastAsia="en-US"/>
              </w:rPr>
              <w:t>External:</w:t>
            </w:r>
          </w:p>
          <w:p w14:paraId="0A0DE629" w14:textId="77777777" w:rsidR="0036132D" w:rsidRDefault="0036132D">
            <w:pPr>
              <w:pStyle w:val="SPARCGraphBodyText"/>
              <w:tabs>
                <w:tab w:val="clear" w:pos="227"/>
                <w:tab w:val="clear" w:pos="360"/>
                <w:tab w:val="left" w:pos="426"/>
              </w:tabs>
              <w:spacing w:line="240" w:lineRule="auto"/>
              <w:rPr>
                <w:rFonts w:ascii="Arial" w:hAnsi="Arial" w:cs="Arial"/>
                <w:sz w:val="20"/>
                <w:lang w:eastAsia="en-US"/>
              </w:rPr>
            </w:pPr>
          </w:p>
          <w:p w14:paraId="524364B7"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Accounting firm</w:t>
            </w:r>
          </w:p>
          <w:p w14:paraId="7E7BB10A" w14:textId="5A7B6E59"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Auditors</w:t>
            </w:r>
          </w:p>
          <w:p w14:paraId="4C453CF3" w14:textId="2072E8B0" w:rsidR="00267CFE" w:rsidRDefault="00267CFE"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Customers</w:t>
            </w:r>
          </w:p>
          <w:p w14:paraId="6A43BE39" w14:textId="5B6235A3"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Suppliers </w:t>
            </w:r>
            <w:r w:rsidR="00267CFE">
              <w:rPr>
                <w:rFonts w:ascii="Arial" w:hAnsi="Arial" w:cs="Arial"/>
                <w:sz w:val="20"/>
                <w:lang w:eastAsia="en-US"/>
              </w:rPr>
              <w:t>e.g.,</w:t>
            </w:r>
            <w:r>
              <w:rPr>
                <w:rFonts w:ascii="Arial" w:hAnsi="Arial" w:cs="Arial"/>
                <w:sz w:val="20"/>
                <w:lang w:eastAsia="en-US"/>
              </w:rPr>
              <w:t xml:space="preserve"> </w:t>
            </w:r>
            <w:r w:rsidR="00267CFE">
              <w:rPr>
                <w:rFonts w:ascii="Arial" w:hAnsi="Arial" w:cs="Arial"/>
                <w:sz w:val="20"/>
                <w:lang w:eastAsia="en-US"/>
              </w:rPr>
              <w:t xml:space="preserve">IT </w:t>
            </w:r>
            <w:r>
              <w:rPr>
                <w:rFonts w:ascii="Arial" w:hAnsi="Arial" w:cs="Arial"/>
                <w:sz w:val="20"/>
                <w:lang w:eastAsia="en-US"/>
              </w:rPr>
              <w:t>Systems</w:t>
            </w:r>
          </w:p>
        </w:tc>
      </w:tr>
    </w:tbl>
    <w:p w14:paraId="5551B638" w14:textId="77777777" w:rsidR="0036132D" w:rsidRDefault="0036132D" w:rsidP="0036132D">
      <w:pPr>
        <w:rPr>
          <w:rFonts w:ascii="Arial" w:hAnsi="Arial" w:cs="Arial"/>
          <w:sz w:val="16"/>
          <w:szCs w:val="16"/>
        </w:rPr>
      </w:pPr>
    </w:p>
    <w:tbl>
      <w:tblPr>
        <w:tblW w:w="10206" w:type="dxa"/>
        <w:tblInd w:w="-572" w:type="dxa"/>
        <w:tblLayout w:type="fixed"/>
        <w:tblCellMar>
          <w:left w:w="0" w:type="dxa"/>
          <w:right w:w="0" w:type="dxa"/>
        </w:tblCellMar>
        <w:tblLook w:val="04A0" w:firstRow="1" w:lastRow="0" w:firstColumn="1" w:lastColumn="0" w:noHBand="0" w:noVBand="1"/>
      </w:tblPr>
      <w:tblGrid>
        <w:gridCol w:w="10200"/>
        <w:gridCol w:w="6"/>
      </w:tblGrid>
      <w:tr w:rsidR="0036132D" w14:paraId="32549675" w14:textId="77777777" w:rsidTr="001B002C">
        <w:trPr>
          <w:trHeight w:val="60"/>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cMar>
              <w:top w:w="80" w:type="dxa"/>
              <w:left w:w="80" w:type="dxa"/>
              <w:bottom w:w="80" w:type="dxa"/>
              <w:right w:w="80" w:type="dxa"/>
            </w:tcMar>
            <w:hideMark/>
          </w:tcPr>
          <w:p w14:paraId="3AC8543E" w14:textId="77777777" w:rsidR="0036132D" w:rsidRDefault="0036132D">
            <w:pPr>
              <w:pStyle w:val="SPARCGraphBodyText"/>
              <w:rPr>
                <w:rFonts w:ascii="Arial" w:hAnsi="Arial" w:cs="Arial"/>
                <w:b/>
                <w:color w:val="FFFFFF" w:themeColor="background1"/>
                <w:sz w:val="20"/>
                <w:lang w:eastAsia="en-US"/>
              </w:rPr>
            </w:pPr>
            <w:r>
              <w:rPr>
                <w:rStyle w:val="SPARCGraphTitle"/>
                <w:rFonts w:ascii="Arial" w:hAnsi="Arial" w:cs="Arial" w:hint="default"/>
                <w:color w:val="FFFFFF" w:themeColor="background1"/>
                <w:sz w:val="20"/>
                <w:lang w:eastAsia="en-US"/>
              </w:rPr>
              <w:t>QUALIFICATIONS, SKILLS &amp; EXPERIENCE</w:t>
            </w:r>
          </w:p>
        </w:tc>
      </w:tr>
      <w:tr w:rsidR="0036132D" w14:paraId="4E1E75A5" w14:textId="77777777" w:rsidTr="001452DE">
        <w:trPr>
          <w:gridAfter w:val="1"/>
          <w:wAfter w:w="6" w:type="dxa"/>
          <w:trHeight w:val="372"/>
        </w:trPr>
        <w:tc>
          <w:tcPr>
            <w:tcW w:w="102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21CC85D" w14:textId="4EE155EB"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Tertiary qualification in </w:t>
            </w:r>
            <w:r w:rsidR="00267CFE">
              <w:rPr>
                <w:rFonts w:ascii="Arial" w:hAnsi="Arial" w:cs="Arial"/>
                <w:sz w:val="20"/>
                <w:lang w:eastAsia="en-US"/>
              </w:rPr>
              <w:t>accounting</w:t>
            </w:r>
            <w:r>
              <w:rPr>
                <w:rFonts w:ascii="Arial" w:hAnsi="Arial" w:cs="Arial"/>
                <w:sz w:val="20"/>
                <w:lang w:eastAsia="en-US"/>
              </w:rPr>
              <w:t xml:space="preserve"> – mandatory.</w:t>
            </w:r>
          </w:p>
          <w:p w14:paraId="553F8B06"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Prior commercial accounting experience – mandatory.</w:t>
            </w:r>
          </w:p>
          <w:p w14:paraId="01C54D1C"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Strong technical understanding at a management accounting level – mandatory.</w:t>
            </w:r>
          </w:p>
          <w:p w14:paraId="092BDC2E" w14:textId="070C9F6B"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Practical experience operating in an environment where project management, job costing and operations are key to success (</w:t>
            </w:r>
            <w:r w:rsidR="00267CFE">
              <w:rPr>
                <w:rFonts w:ascii="Arial" w:hAnsi="Arial" w:cs="Arial"/>
                <w:sz w:val="20"/>
                <w:lang w:eastAsia="en-US"/>
              </w:rPr>
              <w:t>e.g.,</w:t>
            </w:r>
            <w:r>
              <w:rPr>
                <w:rFonts w:ascii="Arial" w:hAnsi="Arial" w:cs="Arial"/>
                <w:sz w:val="20"/>
                <w:lang w:eastAsia="en-US"/>
              </w:rPr>
              <w:t xml:space="preserve"> engineering, construction, manufacturing) – desirable.</w:t>
            </w:r>
          </w:p>
          <w:p w14:paraId="0FCE452F" w14:textId="04A2057E" w:rsidR="00974E75" w:rsidRDefault="0036132D" w:rsidP="00974E75">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Prior experience using various accounting / payroll systems, and the confidence to suggest alternatives to realise improved efficiency (</w:t>
            </w:r>
            <w:r w:rsidR="00267CFE">
              <w:rPr>
                <w:rFonts w:ascii="Arial" w:hAnsi="Arial" w:cs="Arial"/>
                <w:sz w:val="20"/>
                <w:lang w:eastAsia="en-US"/>
              </w:rPr>
              <w:t xml:space="preserve">Xero, Job Pro </w:t>
            </w:r>
            <w:r>
              <w:rPr>
                <w:rFonts w:ascii="Arial" w:hAnsi="Arial" w:cs="Arial"/>
                <w:sz w:val="20"/>
                <w:lang w:eastAsia="en-US"/>
              </w:rPr>
              <w:t xml:space="preserve">and </w:t>
            </w:r>
            <w:r w:rsidR="00141AE2">
              <w:rPr>
                <w:rFonts w:ascii="Arial" w:hAnsi="Arial" w:cs="Arial"/>
                <w:sz w:val="20"/>
                <w:lang w:eastAsia="en-US"/>
              </w:rPr>
              <w:t>PayHero</w:t>
            </w:r>
            <w:r>
              <w:rPr>
                <w:rFonts w:ascii="Arial" w:hAnsi="Arial" w:cs="Arial"/>
                <w:sz w:val="20"/>
                <w:lang w:eastAsia="en-US"/>
              </w:rPr>
              <w:t xml:space="preserve"> are current operating systems).</w:t>
            </w:r>
            <w:r w:rsidR="00974E75">
              <w:rPr>
                <w:rFonts w:ascii="Arial" w:hAnsi="Arial" w:cs="Arial"/>
                <w:sz w:val="20"/>
                <w:lang w:eastAsia="en-US"/>
              </w:rPr>
              <w:t xml:space="preserve"> </w:t>
            </w:r>
          </w:p>
          <w:p w14:paraId="116D5BD1"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High commercial awareness – understands key contributing factors to a successful business; sees trends, manages risks and is proactive in driving positive change to support commercial viability.</w:t>
            </w:r>
          </w:p>
          <w:p w14:paraId="2B680A83"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Practical experience operating in a changing business environment.</w:t>
            </w:r>
          </w:p>
          <w:p w14:paraId="51681629"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Experience leading teams and investing effort to ensure optimum service delivery to the business.</w:t>
            </w:r>
          </w:p>
          <w:p w14:paraId="2127032E"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Excellent relationship building skills at multiple levels – a genuine ability to form positive working relationships across the board and be respected as a trusted source of advice.</w:t>
            </w:r>
          </w:p>
          <w:p w14:paraId="70B1BED8"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Excellent planning and organisation skills – able to manage self successfully and motivate / organise others to do the same.</w:t>
            </w:r>
          </w:p>
          <w:p w14:paraId="6DF35B14"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Highly results focused and action oriented to deliver on agreed expectations; invests effort and shows urgency appropriately.</w:t>
            </w:r>
          </w:p>
          <w:p w14:paraId="2BF9FCC9"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A good decision maker when faced with challenges – able to successfully work through problems to meet the needs of customers, team members and the business.</w:t>
            </w:r>
          </w:p>
          <w:p w14:paraId="306381DD"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Strong emotional resilience and </w:t>
            </w:r>
            <w:proofErr w:type="gramStart"/>
            <w:r>
              <w:rPr>
                <w:rFonts w:ascii="Arial" w:hAnsi="Arial" w:cs="Arial"/>
                <w:sz w:val="20"/>
                <w:lang w:eastAsia="en-US"/>
              </w:rPr>
              <w:t>problem solving</w:t>
            </w:r>
            <w:proofErr w:type="gramEnd"/>
            <w:r>
              <w:rPr>
                <w:rFonts w:ascii="Arial" w:hAnsi="Arial" w:cs="Arial"/>
                <w:sz w:val="20"/>
                <w:lang w:eastAsia="en-US"/>
              </w:rPr>
              <w:t xml:space="preserve"> capability – a genuine commitment to finding and addressing root cause issues </w:t>
            </w:r>
            <w:proofErr w:type="gramStart"/>
            <w:r>
              <w:rPr>
                <w:rFonts w:ascii="Arial" w:hAnsi="Arial" w:cs="Arial"/>
                <w:sz w:val="20"/>
                <w:lang w:eastAsia="en-US"/>
              </w:rPr>
              <w:t>in order to</w:t>
            </w:r>
            <w:proofErr w:type="gramEnd"/>
            <w:r>
              <w:rPr>
                <w:rFonts w:ascii="Arial" w:hAnsi="Arial" w:cs="Arial"/>
                <w:sz w:val="20"/>
                <w:lang w:eastAsia="en-US"/>
              </w:rPr>
              <w:t xml:space="preserve"> move the business forward.</w:t>
            </w:r>
          </w:p>
          <w:p w14:paraId="7479C2C4"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 xml:space="preserve">Genuine commitment to Health &amp; Safety, Quality, best practice operating standards and a job well done – holds </w:t>
            </w:r>
            <w:proofErr w:type="spellStart"/>
            <w:r>
              <w:rPr>
                <w:rFonts w:ascii="Arial" w:hAnsi="Arial" w:cs="Arial"/>
                <w:sz w:val="20"/>
                <w:lang w:eastAsia="en-US"/>
              </w:rPr>
              <w:t>self accountable</w:t>
            </w:r>
            <w:proofErr w:type="spellEnd"/>
            <w:r>
              <w:rPr>
                <w:rFonts w:ascii="Arial" w:hAnsi="Arial" w:cs="Arial"/>
                <w:sz w:val="20"/>
                <w:lang w:eastAsia="en-US"/>
              </w:rPr>
              <w:t xml:space="preserve"> to the highest of standards and will expect the same of others.</w:t>
            </w:r>
          </w:p>
          <w:p w14:paraId="7E31BDFA"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A desire to be part of a continuous learning environment – willing to offer an opinion and encourage team members to do the same.</w:t>
            </w:r>
          </w:p>
          <w:p w14:paraId="55522BDC"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t>Willingness to report on activity and be held accountable for business performance.</w:t>
            </w:r>
          </w:p>
          <w:p w14:paraId="06E65A2F" w14:textId="77777777" w:rsidR="0036132D" w:rsidRDefault="0036132D" w:rsidP="00DD6B1F">
            <w:pPr>
              <w:pStyle w:val="SPARCGraphBodyText"/>
              <w:numPr>
                <w:ilvl w:val="0"/>
                <w:numId w:val="2"/>
              </w:numPr>
              <w:tabs>
                <w:tab w:val="clear" w:pos="227"/>
                <w:tab w:val="clear" w:pos="360"/>
                <w:tab w:val="left" w:pos="426"/>
              </w:tabs>
              <w:spacing w:line="240" w:lineRule="auto"/>
              <w:ind w:left="426" w:hanging="284"/>
              <w:rPr>
                <w:rFonts w:ascii="Arial" w:hAnsi="Arial" w:cs="Arial"/>
                <w:sz w:val="20"/>
                <w:lang w:eastAsia="en-US"/>
              </w:rPr>
            </w:pPr>
            <w:r>
              <w:rPr>
                <w:rFonts w:ascii="Arial" w:hAnsi="Arial" w:cs="Arial"/>
                <w:sz w:val="20"/>
                <w:lang w:eastAsia="en-US"/>
              </w:rPr>
              <w:lastRenderedPageBreak/>
              <w:t>High integrity and trust – able to fulfil diverse pieces of work under different umbrellas with Kernohan’s best interests at heart.</w:t>
            </w:r>
          </w:p>
        </w:tc>
      </w:tr>
    </w:tbl>
    <w:p w14:paraId="71AA44CE" w14:textId="77777777" w:rsidR="002A35F0" w:rsidRDefault="002A35F0"/>
    <w:sectPr w:rsidR="002A3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ARCSans-Light">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PARCSans-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CE7"/>
    <w:multiLevelType w:val="hybridMultilevel"/>
    <w:tmpl w:val="75F49AF2"/>
    <w:lvl w:ilvl="0" w:tplc="FFAC2D0A">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CAD5066"/>
    <w:multiLevelType w:val="hybridMultilevel"/>
    <w:tmpl w:val="9D60DFC8"/>
    <w:lvl w:ilvl="0" w:tplc="B67AFBC8">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576598657">
    <w:abstractNumId w:val="1"/>
  </w:num>
  <w:num w:numId="2" w16cid:durableId="668751348">
    <w:abstractNumId w:val="0"/>
  </w:num>
  <w:num w:numId="3" w16cid:durableId="150647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2D"/>
    <w:rsid w:val="000C18EB"/>
    <w:rsid w:val="00141AE2"/>
    <w:rsid w:val="001452DE"/>
    <w:rsid w:val="00171090"/>
    <w:rsid w:val="001B002C"/>
    <w:rsid w:val="001C67D6"/>
    <w:rsid w:val="00267CFE"/>
    <w:rsid w:val="002A35F0"/>
    <w:rsid w:val="00334922"/>
    <w:rsid w:val="0036132D"/>
    <w:rsid w:val="005027D1"/>
    <w:rsid w:val="00565090"/>
    <w:rsid w:val="005D0C69"/>
    <w:rsid w:val="00694418"/>
    <w:rsid w:val="00733413"/>
    <w:rsid w:val="00891A55"/>
    <w:rsid w:val="008A1AEF"/>
    <w:rsid w:val="00974E75"/>
    <w:rsid w:val="00A770E4"/>
    <w:rsid w:val="00CE6863"/>
    <w:rsid w:val="00E17903"/>
    <w:rsid w:val="00E76F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68BCC"/>
  <w15:chartTrackingRefBased/>
  <w15:docId w15:val="{8A95E31F-AA42-4ABF-83E1-BC26B790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CGraphBodyTextChar">
    <w:name w:val="SPARC_Graph_Body_Text Char"/>
    <w:basedOn w:val="DefaultParagraphFont"/>
    <w:link w:val="SPARCGraphBodyText"/>
    <w:locked/>
    <w:rsid w:val="0036132D"/>
    <w:rPr>
      <w:rFonts w:ascii="SPARCSans-Light" w:eastAsia="Times New Roman" w:hAnsi="SPARCSans-Light" w:cs="Times New Roman"/>
      <w:color w:val="000000"/>
      <w:sz w:val="16"/>
      <w:szCs w:val="20"/>
      <w:lang w:val="en-GB" w:eastAsia="en-NZ"/>
    </w:rPr>
  </w:style>
  <w:style w:type="paragraph" w:customStyle="1" w:styleId="SPARCGraphBodyText">
    <w:name w:val="SPARC_Graph_Body_Text"/>
    <w:basedOn w:val="Normal"/>
    <w:link w:val="SPARCGraphBodyTextChar"/>
    <w:rsid w:val="0036132D"/>
    <w:pPr>
      <w:widowControl w:val="0"/>
      <w:tabs>
        <w:tab w:val="left" w:pos="227"/>
        <w:tab w:val="left" w:pos="360"/>
      </w:tabs>
      <w:suppressAutoHyphens/>
      <w:autoSpaceDE w:val="0"/>
      <w:autoSpaceDN w:val="0"/>
      <w:adjustRightInd w:val="0"/>
      <w:spacing w:after="0" w:line="192" w:lineRule="atLeast"/>
    </w:pPr>
    <w:rPr>
      <w:rFonts w:ascii="SPARCSans-Light" w:eastAsia="Times New Roman" w:hAnsi="SPARCSans-Light" w:cs="Times New Roman"/>
      <w:color w:val="000000"/>
      <w:sz w:val="16"/>
      <w:szCs w:val="20"/>
      <w:lang w:val="en-GB" w:eastAsia="en-NZ"/>
    </w:rPr>
  </w:style>
  <w:style w:type="character" w:customStyle="1" w:styleId="bulletChar">
    <w:name w:val="bullet Char"/>
    <w:basedOn w:val="SPARCGraphBodyTextChar"/>
    <w:link w:val="bullet"/>
    <w:locked/>
    <w:rsid w:val="0036132D"/>
    <w:rPr>
      <w:rFonts w:ascii="Arial" w:eastAsia="Times New Roman" w:hAnsi="Arial" w:cs="Arial"/>
      <w:color w:val="000000"/>
      <w:sz w:val="16"/>
      <w:szCs w:val="16"/>
      <w:lang w:val="en-GB" w:eastAsia="en-NZ"/>
    </w:rPr>
  </w:style>
  <w:style w:type="paragraph" w:customStyle="1" w:styleId="bullet">
    <w:name w:val="bullet"/>
    <w:basedOn w:val="SPARCGraphBodyText"/>
    <w:link w:val="bulletChar"/>
    <w:qFormat/>
    <w:rsid w:val="0036132D"/>
    <w:pPr>
      <w:numPr>
        <w:numId w:val="1"/>
      </w:numPr>
      <w:tabs>
        <w:tab w:val="clear" w:pos="227"/>
        <w:tab w:val="left" w:pos="318"/>
      </w:tabs>
      <w:spacing w:after="120" w:line="240" w:lineRule="auto"/>
      <w:ind w:left="714" w:hanging="357"/>
    </w:pPr>
    <w:rPr>
      <w:rFonts w:ascii="Arial" w:hAnsi="Arial" w:cs="Arial"/>
      <w:szCs w:val="16"/>
    </w:rPr>
  </w:style>
  <w:style w:type="character" w:customStyle="1" w:styleId="SPARCGraphTitle">
    <w:name w:val="SPARC_Graph Title"/>
    <w:rsid w:val="0036132D"/>
    <w:rPr>
      <w:rFonts w:ascii="SPARCSans-Bold" w:hAnsi="SPARCSans-Bold" w:cs="SPARCSans-Bold" w:hint="cs"/>
      <w:b/>
      <w:bCs w:val="0"/>
      <w:sz w:val="16"/>
    </w:rPr>
  </w:style>
  <w:style w:type="table" w:styleId="TableGrid">
    <w:name w:val="Table Grid"/>
    <w:basedOn w:val="TableNormal"/>
    <w:rsid w:val="003613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387EAD73BE44DBFB3655CF59C49D3" ma:contentTypeVersion="15" ma:contentTypeDescription="Create a new document." ma:contentTypeScope="" ma:versionID="5f4626e1d5ae547987ac086180010d1a">
  <xsd:schema xmlns:xsd="http://www.w3.org/2001/XMLSchema" xmlns:xs="http://www.w3.org/2001/XMLSchema" xmlns:p="http://schemas.microsoft.com/office/2006/metadata/properties" xmlns:ns2="ec9fc93c-7703-4f4d-b94c-61b965874374" xmlns:ns3="b6198334-5e4b-43ff-ad23-5bc945075071" targetNamespace="http://schemas.microsoft.com/office/2006/metadata/properties" ma:root="true" ma:fieldsID="3839448c5e366dbd1adc73f899c04840" ns2:_="" ns3:_="">
    <xsd:import namespace="ec9fc93c-7703-4f4d-b94c-61b965874374"/>
    <xsd:import namespace="b6198334-5e4b-43ff-ad23-5bc945075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c93c-7703-4f4d-b94c-61b96587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5dc0e0-79da-41c2-98eb-1fff6dfa8b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98334-5e4b-43ff-ad23-5bc9450750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fa024d-a52f-4baa-a106-8ca8ceae5be3}" ma:internalName="TaxCatchAll" ma:showField="CatchAllData" ma:web="b6198334-5e4b-43ff-ad23-5bc945075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198334-5e4b-43ff-ad23-5bc945075071" xsi:nil="true"/>
    <lcf76f155ced4ddcb4097134ff3c332f xmlns="ec9fc93c-7703-4f4d-b94c-61b965874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078CAC-FED7-4651-91E1-41F58671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c93c-7703-4f4d-b94c-61b965874374"/>
    <ds:schemaRef ds:uri="b6198334-5e4b-43ff-ad23-5bc945075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272D4-50A7-4C78-B23C-D5FF34ED9684}">
  <ds:schemaRefs>
    <ds:schemaRef ds:uri="http://schemas.microsoft.com/sharepoint/v3/contenttype/forms"/>
  </ds:schemaRefs>
</ds:datastoreItem>
</file>

<file path=customXml/itemProps3.xml><?xml version="1.0" encoding="utf-8"?>
<ds:datastoreItem xmlns:ds="http://schemas.openxmlformats.org/officeDocument/2006/customXml" ds:itemID="{4811E51F-50E6-4DA5-9A25-AF0A08A2B509}">
  <ds:schemaRefs>
    <ds:schemaRef ds:uri="http://schemas.microsoft.com/office/2006/metadata/properties"/>
    <ds:schemaRef ds:uri="http://schemas.microsoft.com/office/infopath/2007/PartnerControls"/>
    <ds:schemaRef ds:uri="b6198334-5e4b-43ff-ad23-5bc945075071"/>
    <ds:schemaRef ds:uri="ec9fc93c-7703-4f4d-b94c-61b96587437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Thompson</dc:creator>
  <cp:keywords/>
  <dc:description/>
  <cp:lastModifiedBy>Janine Dowding</cp:lastModifiedBy>
  <cp:revision>2</cp:revision>
  <cp:lastPrinted>2022-12-08T02:48:00Z</cp:lastPrinted>
  <dcterms:created xsi:type="dcterms:W3CDTF">2025-08-18T03:25:00Z</dcterms:created>
  <dcterms:modified xsi:type="dcterms:W3CDTF">2025-08-18T03:25:00Z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0x01010069F387EAD73BE44DBFB3655CF59C49D3</vt:lpwstr>
  </property>
  <property fmtid="{D5CDD505-2E9C-101B-9397-08002B2CF9AE}" pid="3" name="Order">
    <vt:r8>905000</vt:r8>
  </property>
  <property fmtid="{D5CDD505-2E9C-101B-9397-08002B2CF9AE}" pid="4" name="GrammarlyDocumentId">
    <vt:lpwstr>e8565c80-6faa-40c0-94cc-ab13bd503728</vt:lpwstr>
  </property>
</Properties>
</file>